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adjustRightInd w:val="0"/>
        <w:spacing w:line="360" w:lineRule="auto"/>
        <w:ind w:firstLine="643"/>
        <w:jc w:val="center"/>
        <w:rPr>
          <w:rFonts w:ascii="黑体" w:hAnsi="黑体" w:eastAsia="黑体" w:cs="宋体"/>
          <w:b/>
          <w:bCs/>
          <w:kern w:val="0"/>
          <w:sz w:val="28"/>
          <w:szCs w:val="28"/>
        </w:rPr>
      </w:pPr>
      <w:r>
        <w:rPr>
          <w:rFonts w:hint="eastAsia" w:ascii="黑体" w:hAnsi="黑体" w:eastAsia="黑体" w:cs="宋体"/>
          <w:b/>
          <w:bCs/>
          <w:kern w:val="0"/>
          <w:sz w:val="28"/>
          <w:szCs w:val="28"/>
        </w:rPr>
        <w:t>西北大学数学学院博士研究生“申请-考核”制</w:t>
      </w:r>
    </w:p>
    <w:p>
      <w:pPr>
        <w:widowControl/>
        <w:autoSpaceDE w:val="0"/>
        <w:autoSpaceDN w:val="0"/>
        <w:adjustRightInd w:val="0"/>
        <w:spacing w:line="360" w:lineRule="auto"/>
        <w:ind w:firstLine="643"/>
        <w:jc w:val="center"/>
        <w:rPr>
          <w:rFonts w:ascii="黑体" w:hAnsi="黑体" w:eastAsia="黑体" w:cs="宋体"/>
          <w:b/>
          <w:bCs/>
          <w:kern w:val="0"/>
          <w:sz w:val="28"/>
          <w:szCs w:val="28"/>
        </w:rPr>
      </w:pPr>
      <w:r>
        <w:rPr>
          <w:rFonts w:hint="eastAsia" w:ascii="黑体" w:hAnsi="黑体" w:eastAsia="黑体" w:cs="宋体"/>
          <w:b/>
          <w:bCs/>
          <w:kern w:val="0"/>
          <w:sz w:val="28"/>
          <w:szCs w:val="28"/>
        </w:rPr>
        <w:t>招生工作实施方案</w:t>
      </w:r>
    </w:p>
    <w:p>
      <w:pPr>
        <w:pStyle w:val="11"/>
        <w:numPr>
          <w:ilvl w:val="0"/>
          <w:numId w:val="1"/>
        </w:numPr>
        <w:autoSpaceDE w:val="0"/>
        <w:autoSpaceDN w:val="0"/>
        <w:adjustRightInd w:val="0"/>
        <w:spacing w:line="360" w:lineRule="auto"/>
        <w:ind w:left="0" w:firstLine="643" w:firstLineChars="0"/>
        <w:jc w:val="left"/>
        <w:rPr>
          <w:rFonts w:ascii="仿宋_GB2312" w:eastAsia="仿宋_GB2312" w:cs="仿宋_GB2312"/>
          <w:kern w:val="0"/>
          <w:sz w:val="28"/>
          <w:szCs w:val="28"/>
        </w:rPr>
      </w:pPr>
      <w:r>
        <w:rPr>
          <w:rFonts w:hint="eastAsia" w:ascii="仿宋_GB2312" w:eastAsia="仿宋_GB2312" w:cs="仿宋_GB2312"/>
          <w:kern w:val="0"/>
          <w:sz w:val="28"/>
          <w:szCs w:val="28"/>
        </w:rPr>
        <w:t>为进一步深化博士研究生招生机制改革，优化博士研究生生源结构，更好地选拔具有科研创新能力和培养潜质的优秀硕士研究生攻读博士学位，根据《西北大学博士研究生“申请-考核”制招生工作管理办法》（西大研〔</w:t>
      </w:r>
      <w:r>
        <w:rPr>
          <w:rFonts w:ascii="仿宋_GB2312" w:eastAsia="仿宋_GB2312" w:cs="仿宋_GB2312"/>
          <w:kern w:val="0"/>
          <w:sz w:val="28"/>
          <w:szCs w:val="28"/>
        </w:rPr>
        <w:t>20</w:t>
      </w:r>
      <w:r>
        <w:rPr>
          <w:rFonts w:hint="eastAsia" w:ascii="仿宋_GB2312" w:eastAsia="仿宋_GB2312" w:cs="仿宋_GB2312"/>
          <w:kern w:val="0"/>
          <w:sz w:val="28"/>
          <w:szCs w:val="28"/>
        </w:rPr>
        <w:t>19〕40号）文件精神，结合我院实际，特制定本方案。</w:t>
      </w:r>
    </w:p>
    <w:p>
      <w:pPr>
        <w:pStyle w:val="11"/>
        <w:numPr>
          <w:ilvl w:val="0"/>
          <w:numId w:val="1"/>
        </w:numPr>
        <w:autoSpaceDE w:val="0"/>
        <w:autoSpaceDN w:val="0"/>
        <w:adjustRightInd w:val="0"/>
        <w:spacing w:line="360" w:lineRule="auto"/>
        <w:ind w:left="0" w:firstLine="643" w:firstLineChars="0"/>
        <w:jc w:val="left"/>
        <w:rPr>
          <w:rFonts w:ascii="仿宋_GB2312" w:eastAsia="仿宋_GB2312" w:cs="仿宋_GB2312"/>
          <w:kern w:val="0"/>
          <w:sz w:val="28"/>
          <w:szCs w:val="28"/>
        </w:rPr>
      </w:pPr>
      <w:r>
        <w:rPr>
          <w:rFonts w:hint="eastAsia" w:ascii="仿宋_GB2312" w:eastAsia="仿宋_GB2312" w:cs="仿宋_GB2312"/>
          <w:kern w:val="0"/>
          <w:sz w:val="28"/>
          <w:szCs w:val="28"/>
        </w:rPr>
        <w:t>招生工作原则。</w:t>
      </w:r>
      <w:r>
        <w:rPr>
          <w:rFonts w:ascii="仿宋_GB2312" w:eastAsia="仿宋_GB2312" w:cs="仿宋_GB2312"/>
          <w:kern w:val="0"/>
          <w:sz w:val="28"/>
          <w:szCs w:val="28"/>
        </w:rPr>
        <w:t>招生工作应坚持“公平公正、全面考查、择优录取、保证质量、宁缺毋滥”的原则，注重招生工作的规范性和科学性，对申请者进行全面考查。</w:t>
      </w:r>
    </w:p>
    <w:p>
      <w:pPr>
        <w:pStyle w:val="11"/>
        <w:numPr>
          <w:ilvl w:val="0"/>
          <w:numId w:val="1"/>
        </w:numPr>
        <w:autoSpaceDE w:val="0"/>
        <w:autoSpaceDN w:val="0"/>
        <w:adjustRightInd w:val="0"/>
        <w:spacing w:line="360" w:lineRule="auto"/>
        <w:ind w:left="0" w:firstLine="643" w:firstLineChars="0"/>
        <w:jc w:val="left"/>
        <w:rPr>
          <w:rFonts w:ascii="仿宋_GB2312" w:eastAsia="仿宋_GB2312" w:cs="仿宋_GB2312"/>
          <w:kern w:val="0"/>
          <w:sz w:val="28"/>
          <w:szCs w:val="28"/>
        </w:rPr>
      </w:pPr>
      <w:r>
        <w:rPr>
          <w:rFonts w:ascii="仿宋_GB2312" w:eastAsia="仿宋_GB2312" w:cs="仿宋_GB2312"/>
          <w:kern w:val="0"/>
          <w:sz w:val="28"/>
          <w:szCs w:val="28"/>
        </w:rPr>
        <w:t>组织机构及职责。学院成立博士招生领导小组，负责制定学院</w:t>
      </w:r>
      <w:r>
        <w:rPr>
          <w:rFonts w:hint="eastAsia" w:ascii="仿宋_GB2312" w:eastAsia="仿宋_GB2312" w:cs="仿宋_GB2312"/>
          <w:kern w:val="0"/>
          <w:sz w:val="28"/>
          <w:szCs w:val="28"/>
        </w:rPr>
        <w:t>“申请-考核”制实施方案，并组织实施考生的选拔工作。领导小组组长由学院院长和书记担任，成员包括学院党政班子成员及教师代表。</w:t>
      </w:r>
    </w:p>
    <w:p>
      <w:pPr>
        <w:pStyle w:val="11"/>
        <w:numPr>
          <w:ilvl w:val="0"/>
          <w:numId w:val="1"/>
        </w:numPr>
        <w:autoSpaceDE w:val="0"/>
        <w:autoSpaceDN w:val="0"/>
        <w:adjustRightInd w:val="0"/>
        <w:spacing w:line="360" w:lineRule="auto"/>
        <w:ind w:left="0" w:firstLine="643" w:firstLineChars="0"/>
        <w:jc w:val="left"/>
        <w:rPr>
          <w:rFonts w:ascii="仿宋_GB2312" w:eastAsia="仿宋_GB2312" w:cs="仿宋_GB2312"/>
          <w:kern w:val="0"/>
          <w:sz w:val="28"/>
          <w:szCs w:val="28"/>
        </w:rPr>
      </w:pPr>
      <w:r>
        <w:rPr>
          <w:rFonts w:hint="eastAsia" w:ascii="仿宋_GB2312" w:eastAsia="仿宋_GB2312" w:cs="仿宋_GB2312"/>
          <w:kern w:val="0"/>
          <w:sz w:val="28"/>
          <w:szCs w:val="28"/>
        </w:rPr>
        <w:t>招生计划。根据学校当年分配给数学学院的博士招生总计划和学院的实际情况确定。</w:t>
      </w:r>
    </w:p>
    <w:p>
      <w:pPr>
        <w:pStyle w:val="11"/>
        <w:numPr>
          <w:ilvl w:val="0"/>
          <w:numId w:val="1"/>
        </w:numPr>
        <w:autoSpaceDE w:val="0"/>
        <w:autoSpaceDN w:val="0"/>
        <w:adjustRightInd w:val="0"/>
        <w:spacing w:line="360" w:lineRule="auto"/>
        <w:ind w:left="0" w:firstLine="643" w:firstLineChars="0"/>
        <w:jc w:val="left"/>
        <w:rPr>
          <w:rFonts w:ascii="仿宋_GB2312" w:eastAsia="仿宋_GB2312" w:cs="仿宋_GB2312"/>
          <w:kern w:val="0"/>
          <w:sz w:val="28"/>
          <w:szCs w:val="28"/>
        </w:rPr>
      </w:pPr>
      <w:r>
        <w:rPr>
          <w:rFonts w:ascii="仿宋_GB2312" w:eastAsia="仿宋_GB2312" w:cs="仿宋_GB2312"/>
          <w:kern w:val="0"/>
          <w:sz w:val="28"/>
          <w:szCs w:val="28"/>
        </w:rPr>
        <w:t>参加</w:t>
      </w:r>
      <w:r>
        <w:rPr>
          <w:rFonts w:hint="eastAsia" w:ascii="仿宋_GB2312" w:eastAsia="仿宋_GB2312" w:cs="仿宋_GB2312"/>
          <w:kern w:val="0"/>
          <w:sz w:val="28"/>
          <w:szCs w:val="28"/>
        </w:rPr>
        <w:t>“</w:t>
      </w:r>
      <w:r>
        <w:rPr>
          <w:rFonts w:ascii="仿宋_GB2312" w:eastAsia="仿宋_GB2312" w:cs="仿宋_GB2312"/>
          <w:kern w:val="0"/>
          <w:sz w:val="28"/>
          <w:szCs w:val="28"/>
        </w:rPr>
        <w:t>申请-考核</w:t>
      </w:r>
      <w:r>
        <w:rPr>
          <w:rFonts w:hint="eastAsia" w:ascii="仿宋_GB2312" w:eastAsia="仿宋_GB2312" w:cs="仿宋_GB2312"/>
          <w:kern w:val="0"/>
          <w:sz w:val="28"/>
          <w:szCs w:val="28"/>
        </w:rPr>
        <w:t>”</w:t>
      </w:r>
      <w:r>
        <w:rPr>
          <w:rFonts w:ascii="仿宋_GB2312" w:eastAsia="仿宋_GB2312" w:cs="仿宋_GB2312"/>
          <w:kern w:val="0"/>
          <w:sz w:val="28"/>
          <w:szCs w:val="28"/>
        </w:rPr>
        <w:t xml:space="preserve">制选拔的考生须同时具备以下条件： </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ascii="仿宋_GB2312" w:eastAsia="仿宋_GB2312" w:cs="仿宋_GB2312"/>
          <w:kern w:val="0"/>
          <w:sz w:val="28"/>
          <w:szCs w:val="28"/>
        </w:rPr>
        <w:t>（一）拥护中国共产党的领导，品德良好，遵纪守法，身心健康。无学术不端行为</w:t>
      </w:r>
      <w:r>
        <w:rPr>
          <w:rFonts w:hint="eastAsia" w:ascii="仿宋_GB2312" w:eastAsia="仿宋_GB2312" w:cs="仿宋_GB2312"/>
          <w:kern w:val="0"/>
          <w:sz w:val="28"/>
          <w:szCs w:val="28"/>
        </w:rPr>
        <w:t>，</w:t>
      </w:r>
      <w:r>
        <w:rPr>
          <w:rFonts w:ascii="仿宋_GB2312" w:eastAsia="仿宋_GB2312" w:cs="仿宋_GB2312"/>
          <w:kern w:val="0"/>
          <w:sz w:val="28"/>
          <w:szCs w:val="28"/>
        </w:rPr>
        <w:t xml:space="preserve">无违纪现象。 </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ascii="仿宋_GB2312" w:eastAsia="仿宋_GB2312" w:cs="仿宋_GB2312"/>
          <w:kern w:val="0"/>
          <w:sz w:val="28"/>
          <w:szCs w:val="28"/>
        </w:rPr>
        <w:t>（二）已获得硕士学位或博士学位；应届硕士毕业生须在博士入学前取得硕士学位。</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ascii="仿宋_GB2312" w:eastAsia="仿宋_GB2312" w:cs="仿宋_GB2312"/>
          <w:kern w:val="0"/>
          <w:sz w:val="28"/>
          <w:szCs w:val="28"/>
        </w:rPr>
        <w:t>（三）有两名所申请学科专业领域内教授（或相当专业技术职称的专家）的书面推荐意见。</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ascii="仿宋_GB2312" w:eastAsia="仿宋_GB2312" w:cs="仿宋_GB2312"/>
          <w:kern w:val="0"/>
          <w:sz w:val="28"/>
          <w:szCs w:val="28"/>
        </w:rPr>
        <w:t>（四）英语水平</w:t>
      </w:r>
      <w:r>
        <w:rPr>
          <w:rFonts w:hint="eastAsia" w:ascii="仿宋_GB2312" w:eastAsia="仿宋_GB2312" w:cs="仿宋_GB2312"/>
          <w:kern w:val="0"/>
          <w:sz w:val="28"/>
          <w:szCs w:val="28"/>
        </w:rPr>
        <w:t>要求</w:t>
      </w:r>
      <w:r>
        <w:rPr>
          <w:rFonts w:ascii="仿宋_GB2312" w:eastAsia="仿宋_GB2312" w:cs="仿宋_GB2312"/>
          <w:kern w:val="0"/>
          <w:sz w:val="28"/>
          <w:szCs w:val="28"/>
        </w:rPr>
        <w:t>：</w:t>
      </w:r>
    </w:p>
    <w:p>
      <w:pPr>
        <w:autoSpaceDE w:val="0"/>
        <w:autoSpaceDN w:val="0"/>
        <w:adjustRightInd w:val="0"/>
        <w:spacing w:line="360" w:lineRule="auto"/>
        <w:ind w:firstLine="618" w:firstLineChars="221"/>
        <w:jc w:val="left"/>
        <w:rPr>
          <w:rFonts w:ascii="仿宋_GB2312" w:eastAsia="仿宋_GB2312" w:cs="仿宋_GB2312"/>
          <w:kern w:val="0"/>
          <w:sz w:val="28"/>
          <w:szCs w:val="28"/>
        </w:rPr>
      </w:pPr>
      <w:r>
        <w:rPr>
          <w:rFonts w:ascii="仿宋_GB2312" w:eastAsia="仿宋_GB2312" w:cs="仿宋_GB2312"/>
          <w:kern w:val="0"/>
          <w:sz w:val="28"/>
          <w:szCs w:val="28"/>
        </w:rPr>
        <w:t>近五年</w:t>
      </w:r>
      <w:r>
        <w:rPr>
          <w:rFonts w:hint="eastAsia" w:ascii="仿宋_GB2312" w:eastAsia="仿宋_GB2312" w:cs="仿宋_GB2312"/>
          <w:kern w:val="0"/>
          <w:sz w:val="28"/>
          <w:szCs w:val="28"/>
        </w:rPr>
        <w:t>，</w:t>
      </w:r>
      <w:r>
        <w:rPr>
          <w:rFonts w:ascii="Times New Roman" w:hAnsi="Times New Roman" w:eastAsia="仿宋_GB2312" w:cs="Times New Roman"/>
          <w:kern w:val="0"/>
          <w:sz w:val="28"/>
          <w:szCs w:val="28"/>
        </w:rPr>
        <w:t>CET-6</w:t>
      </w:r>
      <w:r>
        <w:rPr>
          <w:rFonts w:ascii="仿宋_GB2312" w:eastAsia="仿宋_GB2312" w:cs="仿宋_GB2312"/>
          <w:kern w:val="0"/>
          <w:sz w:val="28"/>
          <w:szCs w:val="28"/>
        </w:rPr>
        <w:t>成绩≥425分或</w:t>
      </w:r>
      <w:r>
        <w:rPr>
          <w:rFonts w:ascii="Times New Roman" w:hAnsi="Times New Roman" w:eastAsia="仿宋_GB2312" w:cs="Times New Roman"/>
          <w:kern w:val="0"/>
          <w:sz w:val="28"/>
          <w:szCs w:val="28"/>
        </w:rPr>
        <w:t>IELTS</w:t>
      </w:r>
      <w:r>
        <w:rPr>
          <w:rFonts w:ascii="仿宋_GB2312" w:eastAsia="仿宋_GB2312" w:cs="仿宋_GB2312"/>
          <w:kern w:val="0"/>
          <w:sz w:val="28"/>
          <w:szCs w:val="28"/>
        </w:rPr>
        <w:t>成绩≥5.5分或</w:t>
      </w:r>
      <w:r>
        <w:rPr>
          <w:rFonts w:ascii="Times New Roman" w:hAnsi="Times New Roman" w:eastAsia="仿宋_GB2312" w:cs="Times New Roman"/>
          <w:kern w:val="0"/>
          <w:sz w:val="28"/>
          <w:szCs w:val="28"/>
        </w:rPr>
        <w:t>TOEFL</w:t>
      </w:r>
      <w:r>
        <w:rPr>
          <w:rFonts w:ascii="仿宋_GB2312" w:eastAsia="仿宋_GB2312" w:cs="仿宋_GB2312"/>
          <w:kern w:val="0"/>
          <w:sz w:val="28"/>
          <w:szCs w:val="28"/>
        </w:rPr>
        <w:t>成绩≥75分</w:t>
      </w:r>
      <w:r>
        <w:rPr>
          <w:rFonts w:hint="eastAsia" w:ascii="仿宋_GB2312" w:eastAsia="仿宋_GB2312" w:cs="仿宋_GB2312"/>
          <w:kern w:val="0"/>
          <w:sz w:val="28"/>
          <w:szCs w:val="28"/>
        </w:rPr>
        <w:t>，或</w:t>
      </w:r>
      <w:r>
        <w:rPr>
          <w:rFonts w:ascii="仿宋_GB2312" w:eastAsia="仿宋_GB2312" w:cs="仿宋_GB2312"/>
          <w:kern w:val="0"/>
          <w:sz w:val="28"/>
          <w:szCs w:val="28"/>
        </w:rPr>
        <w:t>在高水平期刊上发表过英文学术论文</w:t>
      </w:r>
      <w:r>
        <w:rPr>
          <w:rFonts w:hint="eastAsia" w:ascii="仿宋_GB2312" w:eastAsia="仿宋_GB2312" w:cs="仿宋_GB2312"/>
          <w:kern w:val="0"/>
          <w:sz w:val="28"/>
          <w:szCs w:val="28"/>
        </w:rPr>
        <w:t>，或</w:t>
      </w:r>
      <w:r>
        <w:rPr>
          <w:rFonts w:ascii="Times New Roman" w:hAnsi="Times New Roman" w:eastAsia="仿宋_GB2312" w:cs="Times New Roman"/>
          <w:kern w:val="0"/>
          <w:sz w:val="28"/>
          <w:szCs w:val="28"/>
        </w:rPr>
        <w:t>CET-4</w:t>
      </w:r>
      <w:r>
        <w:rPr>
          <w:rFonts w:ascii="仿宋_GB2312" w:eastAsia="仿宋_GB2312" w:cs="仿宋_GB2312"/>
          <w:kern w:val="0"/>
          <w:sz w:val="28"/>
          <w:szCs w:val="28"/>
        </w:rPr>
        <w:t xml:space="preserve"> 成绩≥</w:t>
      </w:r>
      <w:r>
        <w:rPr>
          <w:rFonts w:hint="eastAsia" w:ascii="仿宋_GB2312" w:eastAsia="仿宋_GB2312" w:cs="仿宋_GB2312"/>
          <w:kern w:val="0"/>
          <w:sz w:val="28"/>
          <w:szCs w:val="28"/>
        </w:rPr>
        <w:t>425</w:t>
      </w:r>
      <w:r>
        <w:rPr>
          <w:rFonts w:ascii="仿宋_GB2312" w:eastAsia="仿宋_GB2312" w:cs="仿宋_GB2312"/>
          <w:kern w:val="0"/>
          <w:sz w:val="28"/>
          <w:szCs w:val="28"/>
        </w:rPr>
        <w:t>分且专业素养与科研能力特别突出者。</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hint="eastAsia" w:ascii="仿宋_GB2312" w:eastAsia="仿宋_GB2312" w:cs="仿宋_GB2312"/>
          <w:kern w:val="0"/>
          <w:sz w:val="28"/>
          <w:szCs w:val="28"/>
        </w:rPr>
        <w:t>（五） 专业基础及科研能力要求：</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ascii="仿宋_GB2312" w:eastAsia="仿宋_GB2312" w:cs="仿宋_GB2312"/>
          <w:kern w:val="0"/>
          <w:sz w:val="28"/>
          <w:szCs w:val="28"/>
        </w:rPr>
        <w:t xml:space="preserve">发表高水平学术论文 </w:t>
      </w:r>
      <w:r>
        <w:rPr>
          <w:rFonts w:hint="eastAsia" w:ascii="仿宋_GB2312" w:eastAsia="仿宋_GB2312" w:cs="仿宋_GB2312"/>
          <w:kern w:val="0"/>
          <w:sz w:val="28"/>
          <w:szCs w:val="28"/>
        </w:rPr>
        <w:t>1</w:t>
      </w:r>
      <w:r>
        <w:rPr>
          <w:rFonts w:ascii="仿宋_GB2312" w:eastAsia="仿宋_GB2312" w:cs="仿宋_GB2312"/>
          <w:kern w:val="0"/>
          <w:sz w:val="28"/>
          <w:szCs w:val="28"/>
        </w:rPr>
        <w:t xml:space="preserve"> 篇</w:t>
      </w:r>
      <w:r>
        <w:rPr>
          <w:rFonts w:hint="eastAsia" w:ascii="仿宋_GB2312" w:eastAsia="仿宋_GB2312" w:cs="仿宋_GB2312"/>
          <w:kern w:val="0"/>
          <w:sz w:val="28"/>
          <w:szCs w:val="28"/>
        </w:rPr>
        <w:t>；或未发表学术论文但专业素养与科研能力突出者，需提供一份体现其科研潜力和水平的书面证明材料及相关支撑证明。</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ascii="仿宋_GB2312" w:eastAsia="仿宋_GB2312" w:cs="仿宋_GB2312"/>
          <w:kern w:val="0"/>
          <w:sz w:val="28"/>
          <w:szCs w:val="28"/>
        </w:rPr>
        <w:t>（</w:t>
      </w:r>
      <w:r>
        <w:rPr>
          <w:rFonts w:hint="eastAsia" w:ascii="仿宋_GB2312" w:eastAsia="仿宋_GB2312" w:cs="仿宋_GB2312"/>
          <w:kern w:val="0"/>
          <w:sz w:val="28"/>
          <w:szCs w:val="28"/>
        </w:rPr>
        <w:t>六</w:t>
      </w:r>
      <w:r>
        <w:rPr>
          <w:rFonts w:ascii="仿宋_GB2312" w:eastAsia="仿宋_GB2312" w:cs="仿宋_GB2312"/>
          <w:kern w:val="0"/>
          <w:sz w:val="28"/>
          <w:szCs w:val="28"/>
        </w:rPr>
        <w:t>）符合学校当年度博士研究生招生简章公布的其他各项报考条件。</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ascii="仿宋_GB2312" w:eastAsia="仿宋_GB2312" w:cs="仿宋_GB2312"/>
          <w:kern w:val="0"/>
          <w:sz w:val="28"/>
          <w:szCs w:val="28"/>
        </w:rPr>
        <w:t xml:space="preserve">（七）原则上要求此类考生的录取类别为非定向，人事档案及组织关系材料在入学前转入培养单位。 </w:t>
      </w:r>
    </w:p>
    <w:p>
      <w:pPr>
        <w:autoSpaceDE w:val="0"/>
        <w:autoSpaceDN w:val="0"/>
        <w:adjustRightInd w:val="0"/>
        <w:spacing w:line="360" w:lineRule="auto"/>
        <w:ind w:firstLine="562" w:firstLineChars="200"/>
        <w:jc w:val="left"/>
        <w:rPr>
          <w:rFonts w:ascii="仿宋_GB2312" w:eastAsia="仿宋_GB2312" w:cs="仿宋_GB2312"/>
          <w:kern w:val="0"/>
          <w:sz w:val="28"/>
          <w:szCs w:val="28"/>
        </w:rPr>
      </w:pPr>
      <w:r>
        <w:rPr>
          <w:rFonts w:ascii="仿宋_GB2312" w:eastAsia="仿宋_GB2312" w:cs="仿宋_GB2312"/>
          <w:b/>
          <w:kern w:val="0"/>
          <w:sz w:val="28"/>
          <w:szCs w:val="28"/>
        </w:rPr>
        <w:t>第六条</w:t>
      </w:r>
      <w:r>
        <w:rPr>
          <w:rFonts w:hint="eastAsia" w:ascii="仿宋_GB2312" w:eastAsia="仿宋_GB2312" w:cs="仿宋_GB2312"/>
          <w:b/>
          <w:kern w:val="0"/>
          <w:sz w:val="28"/>
          <w:szCs w:val="28"/>
        </w:rPr>
        <w:t xml:space="preserve"> </w:t>
      </w:r>
      <w:r>
        <w:rPr>
          <w:rFonts w:ascii="仿宋_GB2312" w:eastAsia="仿宋_GB2312" w:cs="仿宋_GB2312"/>
          <w:kern w:val="0"/>
          <w:sz w:val="28"/>
          <w:szCs w:val="28"/>
        </w:rPr>
        <w:t xml:space="preserve">选拔工作程序 </w:t>
      </w:r>
    </w:p>
    <w:p>
      <w:pPr>
        <w:pStyle w:val="11"/>
        <w:numPr>
          <w:ilvl w:val="0"/>
          <w:numId w:val="2"/>
        </w:numPr>
        <w:autoSpaceDE w:val="0"/>
        <w:autoSpaceDN w:val="0"/>
        <w:adjustRightInd w:val="0"/>
        <w:spacing w:line="360" w:lineRule="auto"/>
        <w:ind w:firstLineChars="0"/>
        <w:jc w:val="left"/>
        <w:rPr>
          <w:rFonts w:ascii="仿宋_GB2312" w:eastAsia="仿宋_GB2312" w:cs="仿宋_GB2312"/>
          <w:kern w:val="0"/>
          <w:sz w:val="28"/>
          <w:szCs w:val="28"/>
        </w:rPr>
      </w:pPr>
      <w:r>
        <w:rPr>
          <w:rFonts w:ascii="仿宋_GB2312" w:eastAsia="仿宋_GB2312" w:cs="仿宋_GB2312"/>
          <w:kern w:val="0"/>
          <w:sz w:val="28"/>
          <w:szCs w:val="28"/>
        </w:rPr>
        <w:t>个人申请</w:t>
      </w:r>
    </w:p>
    <w:p>
      <w:pPr>
        <w:autoSpaceDE w:val="0"/>
        <w:autoSpaceDN w:val="0"/>
        <w:adjustRightInd w:val="0"/>
        <w:spacing w:line="360" w:lineRule="auto"/>
        <w:ind w:left="640"/>
        <w:jc w:val="left"/>
        <w:rPr>
          <w:rFonts w:ascii="仿宋_GB2312" w:eastAsia="仿宋_GB2312" w:cs="仿宋_GB2312"/>
          <w:kern w:val="0"/>
          <w:sz w:val="28"/>
          <w:szCs w:val="28"/>
        </w:rPr>
      </w:pPr>
      <w:r>
        <w:rPr>
          <w:rFonts w:ascii="仿宋_GB2312" w:eastAsia="仿宋_GB2312" w:cs="仿宋_GB2312"/>
          <w:kern w:val="0"/>
          <w:sz w:val="28"/>
          <w:szCs w:val="28"/>
        </w:rPr>
        <w:t>符合基本报考条件的考生应提前联系导师，征得拟报导师同意后，</w:t>
      </w:r>
    </w:p>
    <w:p>
      <w:pPr>
        <w:autoSpaceDE w:val="0"/>
        <w:autoSpaceDN w:val="0"/>
        <w:adjustRightInd w:val="0"/>
        <w:spacing w:line="360" w:lineRule="auto"/>
        <w:jc w:val="left"/>
        <w:rPr>
          <w:rFonts w:ascii="仿宋_GB2312" w:eastAsia="仿宋_GB2312" w:cs="仿宋_GB2312"/>
          <w:kern w:val="0"/>
          <w:sz w:val="28"/>
          <w:szCs w:val="28"/>
        </w:rPr>
      </w:pPr>
      <w:r>
        <w:rPr>
          <w:rFonts w:ascii="仿宋_GB2312" w:eastAsia="仿宋_GB2312" w:cs="仿宋_GB2312"/>
          <w:kern w:val="0"/>
          <w:sz w:val="28"/>
          <w:szCs w:val="28"/>
        </w:rPr>
        <w:t>方可在当年度博士研究生招生简章规定的报名时间内完成网上报名，并按照要求提交相关材料。提交的材料主要有硕士学位证书及毕业证书、硕士期间课程成绩单、硕士学位论文、外语水平证明材料、已有科研成果（论文、奖项、著作等）、</w:t>
      </w:r>
      <w:r>
        <w:rPr>
          <w:rFonts w:hint="eastAsia" w:ascii="仿宋_GB2312" w:eastAsia="仿宋_GB2312" w:cs="仿宋_GB2312"/>
          <w:kern w:val="0"/>
          <w:sz w:val="28"/>
          <w:szCs w:val="28"/>
        </w:rPr>
        <w:t>西北大学博士研究生报名拟报导师意见审核表</w:t>
      </w:r>
      <w:r>
        <w:rPr>
          <w:rFonts w:hint="eastAsia" w:ascii="仿宋_GB2312" w:eastAsia="仿宋_GB2312" w:cs="仿宋_GB2312"/>
          <w:kern w:val="0"/>
          <w:sz w:val="28"/>
          <w:szCs w:val="28"/>
          <w:lang w:eastAsia="zh-CN"/>
        </w:rPr>
        <w:t>（附件</w:t>
      </w:r>
      <w:r>
        <w:rPr>
          <w:rFonts w:hint="eastAsia" w:ascii="仿宋_GB2312" w:eastAsia="仿宋_GB2312" w:cs="仿宋_GB2312"/>
          <w:kern w:val="0"/>
          <w:sz w:val="28"/>
          <w:szCs w:val="28"/>
          <w:lang w:val="en-US" w:eastAsia="zh-CN"/>
        </w:rPr>
        <w:t>1</w:t>
      </w:r>
      <w:r>
        <w:rPr>
          <w:rFonts w:hint="eastAsia" w:ascii="仿宋_GB2312" w:eastAsia="仿宋_GB2312" w:cs="仿宋_GB2312"/>
          <w:kern w:val="0"/>
          <w:sz w:val="28"/>
          <w:szCs w:val="28"/>
          <w:lang w:eastAsia="zh-CN"/>
        </w:rPr>
        <w:t>）</w:t>
      </w:r>
      <w:r>
        <w:rPr>
          <w:rFonts w:ascii="仿宋_GB2312" w:eastAsia="仿宋_GB2312" w:cs="仿宋_GB2312"/>
          <w:kern w:val="0"/>
          <w:sz w:val="28"/>
          <w:szCs w:val="28"/>
        </w:rPr>
        <w:t xml:space="preserve">、专家推荐书、拟攻读博士学位期间学习及研究计划、体检报告等。 </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ascii="仿宋_GB2312" w:eastAsia="仿宋_GB2312" w:cs="仿宋_GB2312"/>
          <w:kern w:val="0"/>
          <w:sz w:val="28"/>
          <w:szCs w:val="28"/>
        </w:rPr>
        <w:t xml:space="preserve">（二）学院考核 </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ascii="仿宋_GB2312" w:eastAsia="仿宋_GB2312" w:cs="仿宋_GB2312"/>
          <w:kern w:val="0"/>
          <w:sz w:val="28"/>
          <w:szCs w:val="28"/>
        </w:rPr>
        <w:t xml:space="preserve">1.学院组织专人对申请者的材料进行资格审查，不符合申请条件者，不得进入后续的选拔程序。 </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ascii="仿宋_GB2312" w:eastAsia="仿宋_GB2312" w:cs="仿宋_GB2312"/>
          <w:kern w:val="0"/>
          <w:sz w:val="28"/>
          <w:szCs w:val="28"/>
        </w:rPr>
        <w:t>2.学院成立博士招生考核小组（考核小组不少于 5 人，均具备博导资格），负责在审阅申请材料的基础上，对申请者进行综合考核。综合考核采用笔试、面试相结合的方式。</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hint="eastAsia" w:ascii="仿宋_GB2312" w:eastAsia="仿宋_GB2312" w:cs="仿宋_GB2312"/>
          <w:kern w:val="0"/>
          <w:sz w:val="28"/>
          <w:szCs w:val="28"/>
        </w:rPr>
        <w:t>(1) 综合考核笔试。包含专业综合与专业英语两部分内容，满分100分（专业综合80分、专业英语20分）。总分成绩低于60分者，不予录取。</w:t>
      </w:r>
    </w:p>
    <w:p>
      <w:pPr>
        <w:autoSpaceDE w:val="0"/>
        <w:autoSpaceDN w:val="0"/>
        <w:adjustRightInd w:val="0"/>
        <w:spacing w:line="360" w:lineRule="auto"/>
        <w:ind w:firstLine="562" w:firstLineChars="200"/>
        <w:jc w:val="left"/>
        <w:rPr>
          <w:rFonts w:ascii="仿宋_GB2312" w:eastAsia="仿宋_GB2312" w:cs="仿宋_GB2312"/>
          <w:kern w:val="0"/>
          <w:sz w:val="28"/>
          <w:szCs w:val="28"/>
        </w:rPr>
      </w:pPr>
      <w:r>
        <w:rPr>
          <w:rFonts w:hint="eastAsia" w:ascii="仿宋_GB2312" w:eastAsia="仿宋_GB2312" w:cs="仿宋_GB2312"/>
          <w:b/>
          <w:kern w:val="0"/>
          <w:sz w:val="28"/>
          <w:szCs w:val="28"/>
        </w:rPr>
        <w:t>备注：</w:t>
      </w:r>
      <w:r>
        <w:rPr>
          <w:rFonts w:hint="eastAsia" w:ascii="仿宋_GB2312" w:eastAsia="仿宋_GB2312" w:cs="仿宋_GB2312"/>
          <w:kern w:val="0"/>
          <w:sz w:val="28"/>
          <w:szCs w:val="28"/>
        </w:rPr>
        <w:t xml:space="preserve"> 报考数学一级学科博士点的考试科目为《泛函分析》和《抽象代数》；报考统计一级学科博士点的考试科目为《概率论》和《高等数理统计》。</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hint="eastAsia" w:ascii="仿宋_GB2312" w:eastAsia="仿宋_GB2312" w:cs="仿宋_GB2312"/>
          <w:kern w:val="0"/>
          <w:sz w:val="28"/>
          <w:szCs w:val="28"/>
        </w:rPr>
        <w:t>(2) 综合考核面试。通过综合考核笔试的申请人，需参加学院组织的综合考核面试。由博士招生考核小组对申请人从思想品德、学术背景、科研能力、培养潜质、人际沟通、心理素质、拟攻读博士研究生的研究计划、专家推荐意见以及面试答辩表现等进行综合考查，评定考核成绩。考核结果由两部分组成：</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hint="eastAsia" w:ascii="仿宋_GB2312" w:eastAsia="仿宋_GB2312" w:cs="仿宋_GB2312"/>
          <w:kern w:val="0"/>
          <w:sz w:val="28"/>
          <w:szCs w:val="28"/>
        </w:rPr>
        <w:t>第一部分为思想品德考核，考核结果不计入总成绩，但考核不合格者，不予录取；</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hint="eastAsia" w:ascii="仿宋_GB2312" w:eastAsia="仿宋_GB2312" w:cs="仿宋_GB2312"/>
          <w:kern w:val="0"/>
          <w:sz w:val="28"/>
          <w:szCs w:val="28"/>
        </w:rPr>
        <w:t>第二部分为综合考查，满分100分（专业综合80分，英语20分）。总分成绩低于60分者，不予录取。</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hint="eastAsia" w:ascii="仿宋_GB2312" w:eastAsia="仿宋_GB2312" w:cs="仿宋_GB2312"/>
          <w:kern w:val="0"/>
          <w:sz w:val="28"/>
          <w:szCs w:val="28"/>
        </w:rPr>
        <w:t>(3)笔试免考条件：发表C类及以上级别高水平学术论文者可申请两门笔试免试；发表D类学术论文者可申请专业综合笔试免试。申请免试科目成绩记为满分。</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hint="eastAsia" w:ascii="仿宋_GB2312" w:eastAsia="仿宋_GB2312" w:cs="仿宋_GB2312"/>
          <w:kern w:val="0"/>
          <w:sz w:val="28"/>
          <w:szCs w:val="28"/>
        </w:rPr>
        <w:t>3</w:t>
      </w:r>
      <w:r>
        <w:rPr>
          <w:rFonts w:ascii="仿宋_GB2312" w:eastAsia="仿宋_GB2312" w:cs="仿宋_GB2312"/>
          <w:kern w:val="0"/>
          <w:sz w:val="28"/>
          <w:szCs w:val="28"/>
        </w:rPr>
        <w:t xml:space="preserve">.学院按照综合考核分数由高至低进行排序，在招生计划内确定拟录取名单，并将拟录取名单在本单位网站进行为期不少于 5 个工作日的公示。公示无异议后，将拟录取结果报研究生院。 </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ascii="仿宋_GB2312" w:eastAsia="仿宋_GB2312" w:cs="仿宋_GB2312"/>
          <w:kern w:val="0"/>
          <w:sz w:val="28"/>
          <w:szCs w:val="28"/>
        </w:rPr>
        <w:t xml:space="preserve">（三）学校审定 </w:t>
      </w:r>
    </w:p>
    <w:p>
      <w:pPr>
        <w:autoSpaceDE w:val="0"/>
        <w:autoSpaceDN w:val="0"/>
        <w:adjustRightInd w:val="0"/>
        <w:spacing w:line="360" w:lineRule="auto"/>
        <w:ind w:firstLine="560" w:firstLineChars="200"/>
        <w:jc w:val="left"/>
        <w:rPr>
          <w:rFonts w:ascii="仿宋_GB2312" w:eastAsia="仿宋_GB2312" w:cs="仿宋_GB2312"/>
          <w:kern w:val="0"/>
          <w:sz w:val="28"/>
          <w:szCs w:val="28"/>
        </w:rPr>
      </w:pPr>
      <w:r>
        <w:rPr>
          <w:rFonts w:ascii="仿宋_GB2312" w:eastAsia="仿宋_GB2312" w:cs="仿宋_GB2312"/>
          <w:kern w:val="0"/>
          <w:sz w:val="28"/>
          <w:szCs w:val="28"/>
        </w:rPr>
        <w:t>研究生院审核各培养单位提交的拟录取名单及考核结果，提交学校研究生招生领导小组会议审定。审定通过后，随同当年度 学校博士拟录取名单一并公示，公示期满无异议后报上级主管部门。</w:t>
      </w:r>
    </w:p>
    <w:p>
      <w:pPr>
        <w:autoSpaceDE w:val="0"/>
        <w:autoSpaceDN w:val="0"/>
        <w:adjustRightInd w:val="0"/>
        <w:spacing w:line="360" w:lineRule="auto"/>
        <w:ind w:firstLine="562" w:firstLineChars="200"/>
        <w:rPr>
          <w:rFonts w:ascii="仿宋_GB2312" w:eastAsia="仿宋_GB2312" w:cs="仿宋_GB2312"/>
          <w:kern w:val="0"/>
          <w:sz w:val="28"/>
          <w:szCs w:val="28"/>
        </w:rPr>
      </w:pPr>
      <w:r>
        <w:rPr>
          <w:rFonts w:hint="eastAsia" w:ascii="仿宋_GB2312" w:eastAsia="仿宋_GB2312" w:cs="仿宋_GB2312"/>
          <w:b/>
          <w:kern w:val="0"/>
          <w:sz w:val="28"/>
          <w:szCs w:val="28"/>
        </w:rPr>
        <w:t>第七条</w:t>
      </w:r>
      <w:r>
        <w:rPr>
          <w:rFonts w:hint="eastAsia" w:ascii="仿宋_GB2312" w:eastAsia="仿宋_GB2312" w:cs="仿宋_GB2312"/>
          <w:kern w:val="0"/>
          <w:sz w:val="28"/>
          <w:szCs w:val="28"/>
        </w:rPr>
        <w:t>其他说明</w:t>
      </w:r>
    </w:p>
    <w:p>
      <w:pPr>
        <w:pStyle w:val="11"/>
        <w:numPr>
          <w:ilvl w:val="0"/>
          <w:numId w:val="3"/>
        </w:numPr>
        <w:autoSpaceDE w:val="0"/>
        <w:autoSpaceDN w:val="0"/>
        <w:adjustRightInd w:val="0"/>
        <w:spacing w:line="360" w:lineRule="auto"/>
        <w:ind w:firstLineChars="0"/>
        <w:rPr>
          <w:rFonts w:ascii="仿宋_GB2312" w:eastAsia="仿宋_GB2312" w:cs="仿宋_GB2312"/>
          <w:kern w:val="0"/>
          <w:sz w:val="28"/>
          <w:szCs w:val="28"/>
        </w:rPr>
      </w:pPr>
      <w:r>
        <w:rPr>
          <w:rFonts w:ascii="仿宋_GB2312" w:eastAsia="仿宋_GB2312" w:cs="仿宋_GB2312"/>
          <w:kern w:val="0"/>
          <w:sz w:val="28"/>
          <w:szCs w:val="28"/>
        </w:rPr>
        <w:t>本方案中学术论文分类标准</w:t>
      </w:r>
      <w:r>
        <w:rPr>
          <w:rFonts w:hint="eastAsia" w:ascii="仿宋_GB2312" w:eastAsia="仿宋_GB2312" w:cs="仿宋_GB2312"/>
          <w:kern w:val="0"/>
          <w:sz w:val="28"/>
          <w:szCs w:val="28"/>
        </w:rPr>
        <w:t>见</w:t>
      </w:r>
      <w:r>
        <w:rPr>
          <w:rFonts w:ascii="仿宋_GB2312" w:eastAsia="仿宋_GB2312" w:cs="仿宋_GB2312"/>
          <w:kern w:val="0"/>
          <w:sz w:val="28"/>
          <w:szCs w:val="28"/>
        </w:rPr>
        <w:t>表</w:t>
      </w:r>
      <w:r>
        <w:rPr>
          <w:rFonts w:hint="eastAsia" w:ascii="仿宋_GB2312" w:eastAsia="仿宋_GB2312" w:cs="仿宋_GB2312"/>
          <w:kern w:val="0"/>
          <w:sz w:val="28"/>
          <w:szCs w:val="28"/>
        </w:rPr>
        <w:t>1。</w:t>
      </w:r>
    </w:p>
    <w:p>
      <w:pPr>
        <w:widowControl/>
        <w:autoSpaceDE w:val="0"/>
        <w:autoSpaceDN w:val="0"/>
        <w:adjustRightInd w:val="0"/>
        <w:spacing w:line="360" w:lineRule="auto"/>
        <w:ind w:firstLine="643"/>
        <w:jc w:val="center"/>
        <w:rPr>
          <w:rFonts w:ascii="仿宋_GB2312" w:eastAsia="仿宋_GB2312" w:cs="仿宋_GB2312"/>
          <w:b/>
          <w:kern w:val="0"/>
        </w:rPr>
      </w:pPr>
    </w:p>
    <w:p>
      <w:pPr>
        <w:widowControl/>
        <w:autoSpaceDE w:val="0"/>
        <w:autoSpaceDN w:val="0"/>
        <w:adjustRightInd w:val="0"/>
        <w:spacing w:line="360" w:lineRule="auto"/>
        <w:ind w:firstLine="643"/>
        <w:jc w:val="center"/>
        <w:rPr>
          <w:rFonts w:ascii="仿宋_GB2312" w:eastAsia="仿宋_GB2312" w:cs="仿宋_GB2312"/>
          <w:b/>
          <w:kern w:val="0"/>
        </w:rPr>
      </w:pPr>
      <w:r>
        <w:rPr>
          <w:rFonts w:hint="eastAsia" w:ascii="仿宋_GB2312" w:eastAsia="仿宋_GB2312" w:cs="仿宋_GB2312"/>
          <w:b/>
          <w:kern w:val="0"/>
        </w:rPr>
        <w:t>表1. 数学学院博士研究生“申请-考核”制招生工作</w:t>
      </w:r>
    </w:p>
    <w:p>
      <w:pPr>
        <w:widowControl/>
        <w:autoSpaceDE w:val="0"/>
        <w:autoSpaceDN w:val="0"/>
        <w:adjustRightInd w:val="0"/>
        <w:spacing w:line="360" w:lineRule="auto"/>
        <w:ind w:firstLine="643"/>
        <w:jc w:val="center"/>
        <w:rPr>
          <w:rFonts w:ascii="仿宋_GB2312" w:eastAsia="仿宋_GB2312" w:cs="仿宋_GB2312"/>
          <w:b/>
          <w:kern w:val="0"/>
        </w:rPr>
      </w:pPr>
      <w:r>
        <w:rPr>
          <w:rFonts w:hint="eastAsia" w:ascii="仿宋_GB2312" w:eastAsia="仿宋_GB2312" w:cs="仿宋_GB2312"/>
          <w:b/>
          <w:kern w:val="0"/>
        </w:rPr>
        <w:t>学术论文分类标准</w:t>
      </w:r>
    </w:p>
    <w:tbl>
      <w:tblPr>
        <w:tblStyle w:val="7"/>
        <w:tblpPr w:leftFromText="180" w:rightFromText="180" w:vertAnchor="text" w:horzAnchor="page" w:tblpXSpec="center" w:tblpY="483"/>
        <w:tblOverlap w:val="never"/>
        <w:tblW w:w="8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6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3" w:type="dxa"/>
          </w:tcPr>
          <w:p>
            <w:pPr>
              <w:autoSpaceDE w:val="0"/>
              <w:autoSpaceDN w:val="0"/>
              <w:adjustRightInd w:val="0"/>
              <w:spacing w:line="360" w:lineRule="auto"/>
              <w:ind w:firstLine="280" w:firstLineChars="100"/>
              <w:rPr>
                <w:rFonts w:ascii="仿宋_GB2312" w:eastAsia="仿宋_GB2312" w:cs="仿宋_GB2312"/>
                <w:kern w:val="0"/>
                <w:sz w:val="28"/>
                <w:szCs w:val="28"/>
              </w:rPr>
            </w:pPr>
            <w:r>
              <w:rPr>
                <w:rFonts w:hint="eastAsia" w:ascii="仿宋_GB2312" w:eastAsia="仿宋_GB2312" w:cs="仿宋_GB2312"/>
                <w:kern w:val="0"/>
                <w:sz w:val="28"/>
                <w:szCs w:val="28"/>
              </w:rPr>
              <w:t>类别</w:t>
            </w:r>
          </w:p>
        </w:tc>
        <w:tc>
          <w:tcPr>
            <w:tcW w:w="6987" w:type="dxa"/>
          </w:tcPr>
          <w:p>
            <w:pPr>
              <w:autoSpaceDE w:val="0"/>
              <w:autoSpaceDN w:val="0"/>
              <w:adjustRightInd w:val="0"/>
              <w:spacing w:line="360" w:lineRule="auto"/>
              <w:jc w:val="center"/>
              <w:rPr>
                <w:rFonts w:ascii="仿宋_GB2312" w:eastAsia="仿宋_GB2312" w:cs="仿宋_GB2312"/>
                <w:kern w:val="0"/>
                <w:sz w:val="28"/>
                <w:szCs w:val="28"/>
              </w:rPr>
            </w:pPr>
            <w:r>
              <w:rPr>
                <w:rFonts w:hint="eastAsia" w:ascii="仿宋_GB2312" w:eastAsia="仿宋_GB2312" w:cs="仿宋_GB2312"/>
                <w:kern w:val="0"/>
                <w:sz w:val="28"/>
                <w:szCs w:val="28"/>
              </w:rPr>
              <w:t>分类认定方式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3" w:type="dxa"/>
          </w:tcPr>
          <w:p>
            <w:pPr>
              <w:autoSpaceDE w:val="0"/>
              <w:autoSpaceDN w:val="0"/>
              <w:adjustRightInd w:val="0"/>
              <w:spacing w:line="360" w:lineRule="auto"/>
              <w:jc w:val="center"/>
              <w:rPr>
                <w:rFonts w:ascii="仿宋_GB2312" w:eastAsia="仿宋_GB2312" w:cs="仿宋_GB2312"/>
                <w:kern w:val="0"/>
                <w:sz w:val="28"/>
                <w:szCs w:val="28"/>
              </w:rPr>
            </w:pPr>
            <w:r>
              <w:rPr>
                <w:rFonts w:hint="eastAsia" w:ascii="仿宋_GB2312" w:eastAsia="仿宋_GB2312" w:cs="仿宋_GB2312"/>
                <w:kern w:val="0"/>
                <w:sz w:val="28"/>
                <w:szCs w:val="28"/>
              </w:rPr>
              <w:t>A类</w:t>
            </w:r>
          </w:p>
        </w:tc>
        <w:tc>
          <w:tcPr>
            <w:tcW w:w="6987" w:type="dxa"/>
          </w:tcPr>
          <w:p>
            <w:pPr>
              <w:autoSpaceDE w:val="0"/>
              <w:autoSpaceDN w:val="0"/>
              <w:adjustRightInd w:val="0"/>
              <w:spacing w:line="360" w:lineRule="auto"/>
              <w:rPr>
                <w:rFonts w:ascii="仿宋_GB2312" w:eastAsia="仿宋_GB2312" w:cs="仿宋_GB2312"/>
                <w:kern w:val="0"/>
                <w:sz w:val="28"/>
                <w:szCs w:val="28"/>
              </w:rPr>
            </w:pPr>
            <w:r>
              <w:rPr>
                <w:rFonts w:hint="eastAsia" w:ascii="仿宋_GB2312" w:eastAsia="仿宋_GB2312" w:cs="仿宋_GB2312"/>
                <w:kern w:val="0"/>
                <w:sz w:val="28"/>
                <w:szCs w:val="28"/>
              </w:rPr>
              <w:t>SCI-1区；T1类论文；CCF-A类期刊/会议论文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3" w:type="dxa"/>
          </w:tcPr>
          <w:p>
            <w:pPr>
              <w:autoSpaceDE w:val="0"/>
              <w:autoSpaceDN w:val="0"/>
              <w:adjustRightInd w:val="0"/>
              <w:spacing w:line="360" w:lineRule="auto"/>
              <w:jc w:val="center"/>
              <w:rPr>
                <w:rFonts w:ascii="仿宋_GB2312" w:eastAsia="仿宋_GB2312" w:cs="仿宋_GB2312"/>
                <w:kern w:val="0"/>
                <w:sz w:val="28"/>
                <w:szCs w:val="28"/>
              </w:rPr>
            </w:pPr>
            <w:r>
              <w:rPr>
                <w:rFonts w:hint="eastAsia" w:ascii="仿宋_GB2312" w:eastAsia="仿宋_GB2312" w:cs="仿宋_GB2312"/>
                <w:kern w:val="0"/>
                <w:sz w:val="28"/>
                <w:szCs w:val="28"/>
              </w:rPr>
              <w:t>B类</w:t>
            </w:r>
          </w:p>
        </w:tc>
        <w:tc>
          <w:tcPr>
            <w:tcW w:w="6987" w:type="dxa"/>
          </w:tcPr>
          <w:p>
            <w:pPr>
              <w:autoSpaceDE w:val="0"/>
              <w:autoSpaceDN w:val="0"/>
              <w:adjustRightInd w:val="0"/>
              <w:spacing w:line="360" w:lineRule="auto"/>
              <w:rPr>
                <w:rFonts w:ascii="仿宋_GB2312" w:eastAsia="仿宋_GB2312" w:cs="仿宋_GB2312"/>
                <w:kern w:val="0"/>
                <w:sz w:val="28"/>
                <w:szCs w:val="28"/>
              </w:rPr>
            </w:pPr>
            <w:r>
              <w:rPr>
                <w:rFonts w:hint="eastAsia" w:ascii="仿宋_GB2312" w:eastAsia="仿宋_GB2312" w:cs="仿宋_GB2312"/>
                <w:kern w:val="0"/>
                <w:sz w:val="28"/>
                <w:szCs w:val="28"/>
              </w:rPr>
              <w:t>SCI-2区、3区；T2类论文；CCF-B类期刊/会议论文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3" w:type="dxa"/>
          </w:tcPr>
          <w:p>
            <w:pPr>
              <w:autoSpaceDE w:val="0"/>
              <w:autoSpaceDN w:val="0"/>
              <w:adjustRightInd w:val="0"/>
              <w:spacing w:line="360" w:lineRule="auto"/>
              <w:jc w:val="center"/>
              <w:rPr>
                <w:rFonts w:ascii="仿宋_GB2312" w:eastAsia="仿宋_GB2312" w:cs="仿宋_GB2312"/>
                <w:kern w:val="0"/>
                <w:sz w:val="28"/>
                <w:szCs w:val="28"/>
              </w:rPr>
            </w:pPr>
            <w:r>
              <w:rPr>
                <w:rFonts w:hint="eastAsia" w:ascii="仿宋_GB2312" w:eastAsia="仿宋_GB2312" w:cs="仿宋_GB2312"/>
                <w:kern w:val="0"/>
                <w:sz w:val="28"/>
                <w:szCs w:val="28"/>
              </w:rPr>
              <w:t>C类</w:t>
            </w:r>
          </w:p>
        </w:tc>
        <w:tc>
          <w:tcPr>
            <w:tcW w:w="6987" w:type="dxa"/>
          </w:tcPr>
          <w:p>
            <w:pPr>
              <w:autoSpaceDE w:val="0"/>
              <w:autoSpaceDN w:val="0"/>
              <w:adjustRightInd w:val="0"/>
              <w:spacing w:line="360" w:lineRule="auto"/>
              <w:rPr>
                <w:rFonts w:ascii="仿宋_GB2312" w:eastAsia="仿宋_GB2312" w:cs="仿宋_GB2312"/>
                <w:kern w:val="0"/>
                <w:sz w:val="28"/>
                <w:szCs w:val="28"/>
              </w:rPr>
            </w:pPr>
            <w:r>
              <w:rPr>
                <w:rFonts w:hint="eastAsia" w:ascii="仿宋_GB2312" w:eastAsia="仿宋_GB2312" w:cs="仿宋_GB2312"/>
                <w:kern w:val="0"/>
                <w:sz w:val="28"/>
                <w:szCs w:val="28"/>
              </w:rPr>
              <w:t>SCI-4区；T3类SCI论文；CCF-C类期刊/会议论文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3" w:type="dxa"/>
          </w:tcPr>
          <w:p>
            <w:pPr>
              <w:autoSpaceDE w:val="0"/>
              <w:autoSpaceDN w:val="0"/>
              <w:adjustRightInd w:val="0"/>
              <w:spacing w:line="360" w:lineRule="auto"/>
              <w:jc w:val="center"/>
              <w:rPr>
                <w:rFonts w:ascii="仿宋_GB2312" w:eastAsia="仿宋_GB2312" w:cs="仿宋_GB2312"/>
                <w:kern w:val="0"/>
                <w:sz w:val="28"/>
                <w:szCs w:val="28"/>
              </w:rPr>
            </w:pPr>
            <w:r>
              <w:rPr>
                <w:rFonts w:hint="eastAsia" w:ascii="仿宋_GB2312" w:eastAsia="仿宋_GB2312" w:cs="仿宋_GB2312"/>
                <w:kern w:val="0"/>
                <w:sz w:val="28"/>
                <w:szCs w:val="28"/>
              </w:rPr>
              <w:t>D类</w:t>
            </w:r>
          </w:p>
        </w:tc>
        <w:tc>
          <w:tcPr>
            <w:tcW w:w="6987" w:type="dxa"/>
          </w:tcPr>
          <w:p>
            <w:pPr>
              <w:autoSpaceDE w:val="0"/>
              <w:autoSpaceDN w:val="0"/>
              <w:adjustRightInd w:val="0"/>
              <w:spacing w:line="360" w:lineRule="auto"/>
              <w:rPr>
                <w:rFonts w:ascii="仿宋_GB2312" w:eastAsia="仿宋_GB2312" w:cs="仿宋_GB2312"/>
                <w:kern w:val="0"/>
                <w:sz w:val="28"/>
                <w:szCs w:val="28"/>
              </w:rPr>
            </w:pPr>
            <w:r>
              <w:rPr>
                <w:rFonts w:hint="eastAsia" w:ascii="仿宋_GB2312" w:eastAsia="仿宋_GB2312" w:cs="仿宋_GB2312"/>
                <w:kern w:val="0"/>
                <w:sz w:val="28"/>
                <w:szCs w:val="28"/>
              </w:rPr>
              <w:t>核心、EI/ISTP检索、T3类非SCI论文</w:t>
            </w:r>
          </w:p>
        </w:tc>
      </w:tr>
    </w:tbl>
    <w:p>
      <w:pPr>
        <w:autoSpaceDE w:val="0"/>
        <w:autoSpaceDN w:val="0"/>
        <w:adjustRightInd w:val="0"/>
        <w:spacing w:line="360" w:lineRule="auto"/>
        <w:ind w:left="142" w:leftChars="59" w:firstLine="562" w:firstLineChars="200"/>
        <w:rPr>
          <w:rFonts w:ascii="仿宋_GB2312" w:eastAsia="仿宋_GB2312" w:cs="仿宋_GB2312"/>
          <w:kern w:val="0"/>
          <w:sz w:val="28"/>
          <w:szCs w:val="28"/>
        </w:rPr>
      </w:pPr>
      <w:r>
        <w:rPr>
          <w:rFonts w:hint="eastAsia" w:ascii="仿宋_GB2312" w:eastAsia="仿宋_GB2312" w:cs="仿宋_GB2312"/>
          <w:b/>
          <w:kern w:val="0"/>
          <w:sz w:val="28"/>
          <w:szCs w:val="28"/>
        </w:rPr>
        <w:t>备注：</w:t>
      </w:r>
      <w:r>
        <w:rPr>
          <w:rFonts w:hint="eastAsia" w:ascii="仿宋_GB2312" w:eastAsia="仿宋_GB2312" w:cs="仿宋_GB2312"/>
          <w:kern w:val="0"/>
          <w:sz w:val="28"/>
          <w:szCs w:val="28"/>
        </w:rPr>
        <w:t>SCI分区标准按照</w:t>
      </w:r>
      <w:r>
        <w:rPr>
          <w:rFonts w:ascii="仿宋_GB2312" w:eastAsia="仿宋_GB2312" w:cs="仿宋_GB2312"/>
          <w:kern w:val="0"/>
          <w:sz w:val="28"/>
          <w:szCs w:val="28"/>
        </w:rPr>
        <w:t>中国科学院文献情报中心期刊分区表大类认定；T</w:t>
      </w:r>
      <w:r>
        <w:rPr>
          <w:rFonts w:hint="eastAsia" w:ascii="仿宋_GB2312" w:eastAsia="仿宋_GB2312" w:cs="仿宋_GB2312"/>
          <w:kern w:val="0"/>
          <w:sz w:val="28"/>
          <w:szCs w:val="28"/>
        </w:rPr>
        <w:t>1、T2、T3类期刊按照中国科学技术协会《高质量科技期刊分级目录》</w:t>
      </w:r>
      <w:r>
        <w:rPr>
          <w:rFonts w:ascii="仿宋_GB2312" w:eastAsia="仿宋_GB2312" w:cs="仿宋_GB2312"/>
          <w:kern w:val="0"/>
          <w:sz w:val="28"/>
          <w:szCs w:val="28"/>
        </w:rPr>
        <w:t>认定；</w:t>
      </w:r>
      <w:r>
        <w:rPr>
          <w:rFonts w:hint="eastAsia" w:ascii="仿宋_GB2312" w:eastAsia="仿宋_GB2312" w:cs="仿宋_GB2312"/>
          <w:kern w:val="0"/>
          <w:sz w:val="28"/>
          <w:szCs w:val="28"/>
        </w:rPr>
        <w:t>CCF-A、B、C类期刊/会议论文按照《中国计算机学会推荐国际学术会议和期刊目录》认定。</w:t>
      </w:r>
    </w:p>
    <w:p>
      <w:pPr>
        <w:autoSpaceDE w:val="0"/>
        <w:autoSpaceDN w:val="0"/>
        <w:adjustRightInd w:val="0"/>
        <w:spacing w:line="360" w:lineRule="auto"/>
        <w:ind w:firstLine="560" w:firstLineChars="200"/>
        <w:rPr>
          <w:rFonts w:ascii="仿宋_GB2312" w:eastAsia="仿宋_GB2312" w:cs="仿宋_GB2312"/>
          <w:kern w:val="0"/>
          <w:sz w:val="28"/>
          <w:szCs w:val="28"/>
        </w:rPr>
      </w:pPr>
      <w:r>
        <w:rPr>
          <w:rFonts w:ascii="仿宋_GB2312" w:eastAsia="仿宋_GB2312" w:cs="仿宋_GB2312"/>
          <w:kern w:val="0"/>
          <w:sz w:val="28"/>
          <w:szCs w:val="28"/>
        </w:rPr>
        <w:t>（二）申请人须为发表学术论文第一作者或通讯作者</w:t>
      </w:r>
      <w:r>
        <w:rPr>
          <w:rFonts w:hint="eastAsia" w:ascii="仿宋_GB2312" w:eastAsia="仿宋_GB2312" w:cs="仿宋_GB2312"/>
          <w:kern w:val="0"/>
          <w:sz w:val="28"/>
          <w:szCs w:val="28"/>
        </w:rPr>
        <w:t>。其中</w:t>
      </w:r>
      <w:r>
        <w:rPr>
          <w:rFonts w:ascii="仿宋_GB2312" w:eastAsia="仿宋_GB2312" w:cs="仿宋_GB2312"/>
          <w:kern w:val="0"/>
          <w:sz w:val="28"/>
          <w:szCs w:val="28"/>
        </w:rPr>
        <w:t>攻读硕士期间所发表论文，若导师为第一作者申请人为第二作者，可认定申请人为第一作者。</w:t>
      </w:r>
    </w:p>
    <w:p>
      <w:pPr>
        <w:autoSpaceDE w:val="0"/>
        <w:autoSpaceDN w:val="0"/>
        <w:adjustRightInd w:val="0"/>
        <w:spacing w:line="360" w:lineRule="auto"/>
        <w:ind w:firstLine="540" w:firstLineChars="192"/>
        <w:rPr>
          <w:rFonts w:ascii="仿宋_GB2312" w:eastAsia="仿宋_GB2312" w:cs="仿宋_GB2312"/>
          <w:kern w:val="0"/>
          <w:sz w:val="28"/>
          <w:szCs w:val="28"/>
        </w:rPr>
      </w:pPr>
      <w:r>
        <w:rPr>
          <w:rFonts w:hint="eastAsia" w:ascii="仿宋_GB2312" w:eastAsia="仿宋_GB2312" w:cs="仿宋_GB2312"/>
          <w:b/>
          <w:kern w:val="0"/>
          <w:sz w:val="28"/>
          <w:szCs w:val="28"/>
        </w:rPr>
        <w:t xml:space="preserve">第八条  </w:t>
      </w:r>
      <w:r>
        <w:rPr>
          <w:rFonts w:hint="eastAsia" w:ascii="仿宋" w:hAnsi="仿宋" w:eastAsia="仿宋" w:cs="仿宋_GB2312"/>
          <w:kern w:val="0"/>
          <w:sz w:val="28"/>
          <w:szCs w:val="28"/>
        </w:rPr>
        <w:t>本方案</w:t>
      </w:r>
      <w:r>
        <w:rPr>
          <w:rFonts w:hint="eastAsia" w:ascii="仿宋_GB2312" w:eastAsia="仿宋_GB2312" w:cs="仿宋_GB2312"/>
          <w:kern w:val="0"/>
          <w:sz w:val="28"/>
          <w:szCs w:val="28"/>
        </w:rPr>
        <w:t>由数学学院学位评定分委员会负责解释。</w:t>
      </w:r>
    </w:p>
    <w:p>
      <w:pPr>
        <w:autoSpaceDE w:val="0"/>
        <w:autoSpaceDN w:val="0"/>
        <w:adjustRightInd w:val="0"/>
        <w:spacing w:line="360" w:lineRule="auto"/>
        <w:ind w:firstLine="562" w:firstLineChars="200"/>
        <w:rPr>
          <w:rFonts w:ascii="仿宋_GB2312" w:eastAsia="仿宋_GB2312" w:cs="仿宋_GB2312"/>
          <w:kern w:val="0"/>
          <w:sz w:val="28"/>
          <w:szCs w:val="28"/>
        </w:rPr>
      </w:pPr>
      <w:r>
        <w:rPr>
          <w:rFonts w:hint="eastAsia" w:ascii="仿宋" w:hAnsi="仿宋" w:eastAsia="仿宋" w:cs="仿宋_GB2312"/>
          <w:b/>
          <w:kern w:val="0"/>
          <w:sz w:val="28"/>
          <w:szCs w:val="28"/>
        </w:rPr>
        <w:t xml:space="preserve">第九条  </w:t>
      </w:r>
      <w:r>
        <w:rPr>
          <w:rFonts w:hint="eastAsia" w:ascii="仿宋_GB2312" w:eastAsia="仿宋_GB2312" w:cs="仿宋_GB2312"/>
          <w:kern w:val="0"/>
          <w:sz w:val="28"/>
          <w:szCs w:val="28"/>
        </w:rPr>
        <w:t>本方案经数学学院学位评定分委员会2022年11月2日会议审议，数学学院党政联席会2022年11月3日会议审定，自 2022年11月4日至 2027年11月3日施行。</w:t>
      </w:r>
    </w:p>
    <w:p>
      <w:pPr>
        <w:autoSpaceDE w:val="0"/>
        <w:autoSpaceDN w:val="0"/>
        <w:adjustRightInd w:val="0"/>
        <w:spacing w:line="360" w:lineRule="auto"/>
        <w:rPr>
          <w:rFonts w:ascii="仿宋_GB2312" w:eastAsia="仿宋_GB2312" w:cs="仿宋_GB2312"/>
          <w:kern w:val="0"/>
          <w:sz w:val="28"/>
          <w:szCs w:val="28"/>
        </w:rPr>
      </w:pPr>
    </w:p>
    <w:p>
      <w:pPr>
        <w:rPr>
          <w:rFonts w:hint="default" w:eastAsiaTheme="minorEastAsia"/>
          <w:b/>
          <w:bCs/>
          <w:sz w:val="24"/>
          <w:szCs w:val="24"/>
          <w:lang w:val="en-US" w:eastAsia="zh-CN"/>
        </w:rPr>
      </w:pPr>
      <w:r>
        <w:rPr>
          <w:rFonts w:hint="eastAsia"/>
          <w:b/>
          <w:bCs/>
          <w:sz w:val="24"/>
          <w:szCs w:val="24"/>
          <w:lang w:eastAsia="zh-CN"/>
        </w:rPr>
        <w:t>附件</w:t>
      </w:r>
      <w:r>
        <w:rPr>
          <w:rFonts w:hint="eastAsia"/>
          <w:b/>
          <w:bCs/>
          <w:sz w:val="24"/>
          <w:szCs w:val="24"/>
          <w:lang w:val="en-US" w:eastAsia="zh-CN"/>
        </w:rPr>
        <w:t>1：</w:t>
      </w:r>
      <w:bookmarkStart w:id="0" w:name="_GoBack"/>
      <w:bookmarkEnd w:id="0"/>
    </w:p>
    <w:p>
      <w:pPr>
        <w:pStyle w:val="2"/>
      </w:pPr>
    </w:p>
    <w:p>
      <w:pPr>
        <w:pStyle w:val="2"/>
      </w:pPr>
    </w:p>
    <w:p>
      <w:pPr>
        <w:jc w:val="center"/>
        <w:rPr>
          <w:rFonts w:hint="eastAsia" w:ascii="宋体"/>
          <w:b/>
          <w:spacing w:val="20"/>
        </w:rPr>
      </w:pPr>
      <w:r>
        <w:rPr>
          <w:rFonts w:hint="eastAsia" w:ascii="宋体"/>
          <w:b/>
          <w:spacing w:val="20"/>
          <w:sz w:val="32"/>
          <w:szCs w:val="22"/>
        </w:rPr>
        <w:t>西北大学博士研究生报名拟报导师意见审核表</w:t>
      </w:r>
    </w:p>
    <w:p>
      <w:pPr>
        <w:spacing w:after="240"/>
        <w:jc w:val="center"/>
        <w:rPr>
          <w:rFonts w:hint="eastAsia" w:ascii="宋体"/>
          <w:b/>
          <w:spacing w:val="20"/>
        </w:rPr>
      </w:pPr>
      <w:r>
        <w:rPr>
          <w:rFonts w:hint="eastAsia" w:ascii="宋体"/>
          <w:b/>
          <w:spacing w:val="20"/>
        </w:rPr>
        <w:t xml:space="preserve">                            填表日期        年  月  日</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7"/>
        <w:gridCol w:w="728"/>
        <w:gridCol w:w="270"/>
        <w:gridCol w:w="465"/>
        <w:gridCol w:w="210"/>
        <w:gridCol w:w="210"/>
        <w:gridCol w:w="2175"/>
        <w:gridCol w:w="1440"/>
        <w:gridCol w:w="900"/>
        <w:gridCol w:w="90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33" w:type="dxa"/>
            <w:gridSpan w:val="5"/>
            <w:tcBorders>
              <w:top w:val="thinThickSmallGap" w:color="auto" w:sz="12" w:space="0"/>
              <w:left w:val="thinThickSmallGap" w:color="auto" w:sz="12" w:space="0"/>
              <w:bottom w:val="single" w:color="auto" w:sz="6" w:space="0"/>
              <w:right w:val="single" w:color="auto" w:sz="6" w:space="0"/>
            </w:tcBorders>
            <w:vAlign w:val="center"/>
          </w:tcPr>
          <w:p>
            <w:pPr>
              <w:spacing w:before="120" w:line="400" w:lineRule="exact"/>
              <w:ind w:firstLine="241" w:firstLineChars="100"/>
              <w:jc w:val="center"/>
              <w:rPr>
                <w:rFonts w:hint="eastAsia"/>
                <w:b/>
              </w:rPr>
            </w:pPr>
            <w:r>
              <w:rPr>
                <w:rFonts w:hint="eastAsia"/>
                <w:b/>
              </w:rPr>
              <w:t>姓名</w:t>
            </w:r>
          </w:p>
        </w:tc>
        <w:tc>
          <w:tcPr>
            <w:tcW w:w="2595" w:type="dxa"/>
            <w:gridSpan w:val="3"/>
            <w:tcBorders>
              <w:top w:val="thinThickSmallGap" w:color="auto" w:sz="12" w:space="0"/>
              <w:left w:val="single" w:color="auto" w:sz="6" w:space="0"/>
              <w:bottom w:val="single" w:color="auto" w:sz="6" w:space="0"/>
              <w:right w:val="single" w:color="auto" w:sz="6" w:space="0"/>
            </w:tcBorders>
            <w:vAlign w:val="center"/>
          </w:tcPr>
          <w:p>
            <w:pPr>
              <w:spacing w:before="120" w:line="400" w:lineRule="exact"/>
              <w:jc w:val="center"/>
              <w:rPr>
                <w:rFonts w:hint="eastAsia"/>
                <w:b/>
              </w:rPr>
            </w:pPr>
          </w:p>
        </w:tc>
        <w:tc>
          <w:tcPr>
            <w:tcW w:w="1440" w:type="dxa"/>
            <w:tcBorders>
              <w:top w:val="thinThickSmallGap" w:color="auto" w:sz="12" w:space="0"/>
              <w:left w:val="single" w:color="auto" w:sz="6" w:space="0"/>
              <w:bottom w:val="single" w:color="auto" w:sz="6" w:space="0"/>
              <w:right w:val="single" w:color="auto" w:sz="6" w:space="0"/>
            </w:tcBorders>
            <w:vAlign w:val="center"/>
          </w:tcPr>
          <w:p>
            <w:pPr>
              <w:spacing w:before="120" w:line="400" w:lineRule="exact"/>
              <w:jc w:val="center"/>
              <w:rPr>
                <w:rFonts w:hint="eastAsia"/>
                <w:b/>
              </w:rPr>
            </w:pPr>
            <w:r>
              <w:rPr>
                <w:rFonts w:hint="eastAsia"/>
                <w:b/>
              </w:rPr>
              <w:t>性别</w:t>
            </w:r>
          </w:p>
        </w:tc>
        <w:tc>
          <w:tcPr>
            <w:tcW w:w="900" w:type="dxa"/>
            <w:tcBorders>
              <w:top w:val="thinThickSmallGap" w:color="auto" w:sz="12" w:space="0"/>
              <w:left w:val="single" w:color="auto" w:sz="6" w:space="0"/>
              <w:bottom w:val="single" w:color="auto" w:sz="6" w:space="0"/>
              <w:right w:val="single" w:color="auto" w:sz="6" w:space="0"/>
            </w:tcBorders>
            <w:vAlign w:val="center"/>
          </w:tcPr>
          <w:p>
            <w:pPr>
              <w:spacing w:before="120" w:line="400" w:lineRule="exact"/>
              <w:jc w:val="center"/>
              <w:rPr>
                <w:rFonts w:hint="eastAsia"/>
                <w:b/>
              </w:rPr>
            </w:pPr>
          </w:p>
        </w:tc>
        <w:tc>
          <w:tcPr>
            <w:tcW w:w="900" w:type="dxa"/>
            <w:tcBorders>
              <w:top w:val="thinThickSmallGap" w:color="auto" w:sz="12" w:space="0"/>
              <w:left w:val="single" w:color="auto" w:sz="6" w:space="0"/>
              <w:bottom w:val="single" w:color="auto" w:sz="6" w:space="0"/>
              <w:right w:val="single" w:color="auto" w:sz="6" w:space="0"/>
            </w:tcBorders>
            <w:vAlign w:val="center"/>
          </w:tcPr>
          <w:p>
            <w:pPr>
              <w:spacing w:before="120" w:line="400" w:lineRule="exact"/>
              <w:jc w:val="center"/>
              <w:rPr>
                <w:rFonts w:hint="eastAsia"/>
                <w:b/>
              </w:rPr>
            </w:pPr>
            <w:r>
              <w:rPr>
                <w:rFonts w:hint="eastAsia"/>
                <w:b/>
              </w:rPr>
              <w:t>民族</w:t>
            </w:r>
          </w:p>
        </w:tc>
        <w:tc>
          <w:tcPr>
            <w:tcW w:w="1080" w:type="dxa"/>
            <w:tcBorders>
              <w:top w:val="thinThickSmallGap" w:color="auto" w:sz="12" w:space="0"/>
              <w:left w:val="single" w:color="auto" w:sz="6" w:space="0"/>
              <w:bottom w:val="single" w:color="auto" w:sz="6" w:space="0"/>
              <w:right w:val="thickThinSmallGap" w:color="auto" w:sz="12" w:space="0"/>
            </w:tcBorders>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63" w:type="dxa"/>
            <w:tcBorders>
              <w:top w:val="single" w:color="auto" w:sz="6" w:space="0"/>
              <w:left w:val="thinThickSmallGap" w:color="auto" w:sz="12" w:space="0"/>
              <w:bottom w:val="double" w:color="auto" w:sz="4" w:space="0"/>
              <w:right w:val="single" w:color="auto" w:sz="6" w:space="0"/>
            </w:tcBorders>
            <w:vAlign w:val="center"/>
          </w:tcPr>
          <w:p>
            <w:pPr>
              <w:spacing w:before="120" w:line="400" w:lineRule="exact"/>
              <w:jc w:val="center"/>
              <w:rPr>
                <w:rFonts w:hint="eastAsia"/>
                <w:b/>
              </w:rPr>
            </w:pPr>
            <w:r>
              <w:rPr>
                <w:rFonts w:hint="eastAsia"/>
                <w:b/>
              </w:rPr>
              <w:t>政治面貌</w:t>
            </w:r>
          </w:p>
        </w:tc>
        <w:tc>
          <w:tcPr>
            <w:tcW w:w="735" w:type="dxa"/>
            <w:gridSpan w:val="2"/>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b/>
              </w:rPr>
            </w:pPr>
          </w:p>
        </w:tc>
        <w:tc>
          <w:tcPr>
            <w:tcW w:w="1155" w:type="dxa"/>
            <w:gridSpan w:val="4"/>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b/>
              </w:rPr>
            </w:pPr>
            <w:r>
              <w:rPr>
                <w:rFonts w:hint="eastAsia"/>
                <w:b/>
              </w:rPr>
              <w:t>出生年月</w:t>
            </w:r>
          </w:p>
        </w:tc>
        <w:tc>
          <w:tcPr>
            <w:tcW w:w="2175" w:type="dxa"/>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b/>
              </w:rPr>
            </w:pPr>
            <w:r>
              <w:rPr>
                <w:rFonts w:hint="eastAsia"/>
                <w:b/>
              </w:rPr>
              <w:t xml:space="preserve">    年    月   </w:t>
            </w:r>
          </w:p>
        </w:tc>
        <w:tc>
          <w:tcPr>
            <w:tcW w:w="1440" w:type="dxa"/>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b/>
              </w:rPr>
            </w:pPr>
            <w:r>
              <w:rPr>
                <w:rFonts w:hint="eastAsia"/>
                <w:b/>
              </w:rPr>
              <w:t>联系电话</w:t>
            </w:r>
          </w:p>
        </w:tc>
        <w:tc>
          <w:tcPr>
            <w:tcW w:w="2880" w:type="dxa"/>
            <w:gridSpan w:val="3"/>
            <w:tcBorders>
              <w:top w:val="single" w:color="auto" w:sz="6" w:space="0"/>
              <w:left w:val="single" w:color="auto" w:sz="6" w:space="0"/>
              <w:bottom w:val="double" w:color="auto" w:sz="4" w:space="0"/>
              <w:right w:val="thickThinSmallGap" w:color="auto" w:sz="12" w:space="0"/>
            </w:tcBorders>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63" w:type="dxa"/>
            <w:tcBorders>
              <w:top w:val="single" w:color="auto" w:sz="6" w:space="0"/>
              <w:left w:val="thinThickSmallGap" w:color="auto" w:sz="12" w:space="0"/>
              <w:bottom w:val="double" w:color="auto" w:sz="4" w:space="0"/>
              <w:right w:val="single" w:color="auto" w:sz="6" w:space="0"/>
            </w:tcBorders>
            <w:vAlign w:val="center"/>
          </w:tcPr>
          <w:p>
            <w:pPr>
              <w:spacing w:before="120" w:line="400" w:lineRule="exact"/>
              <w:jc w:val="center"/>
              <w:rPr>
                <w:rFonts w:hint="eastAsia"/>
                <w:b/>
              </w:rPr>
            </w:pPr>
            <w:r>
              <w:rPr>
                <w:rFonts w:hint="eastAsia"/>
                <w:b/>
              </w:rPr>
              <w:t>本科院校</w:t>
            </w:r>
          </w:p>
        </w:tc>
        <w:tc>
          <w:tcPr>
            <w:tcW w:w="4065" w:type="dxa"/>
            <w:gridSpan w:val="7"/>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b/>
              </w:rPr>
            </w:pPr>
          </w:p>
        </w:tc>
        <w:tc>
          <w:tcPr>
            <w:tcW w:w="1440" w:type="dxa"/>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b/>
              </w:rPr>
            </w:pPr>
            <w:r>
              <w:rPr>
                <w:rFonts w:hint="eastAsia"/>
                <w:b/>
              </w:rPr>
              <w:t>本科专业</w:t>
            </w:r>
          </w:p>
        </w:tc>
        <w:tc>
          <w:tcPr>
            <w:tcW w:w="2880" w:type="dxa"/>
            <w:gridSpan w:val="3"/>
            <w:tcBorders>
              <w:top w:val="single" w:color="auto" w:sz="6" w:space="0"/>
              <w:left w:val="single" w:color="auto" w:sz="6" w:space="0"/>
              <w:bottom w:val="double" w:color="auto" w:sz="4" w:space="0"/>
              <w:right w:val="thickThinSmallGap" w:color="auto" w:sz="12" w:space="0"/>
            </w:tcBorders>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63" w:type="dxa"/>
            <w:tcBorders>
              <w:top w:val="single" w:color="auto" w:sz="6" w:space="0"/>
              <w:left w:val="thinThickSmallGap" w:color="auto" w:sz="12" w:space="0"/>
              <w:bottom w:val="double" w:color="auto" w:sz="4" w:space="0"/>
              <w:right w:val="single" w:color="auto" w:sz="6" w:space="0"/>
            </w:tcBorders>
            <w:vAlign w:val="center"/>
          </w:tcPr>
          <w:p>
            <w:pPr>
              <w:spacing w:before="120" w:line="400" w:lineRule="exact"/>
              <w:jc w:val="center"/>
              <w:rPr>
                <w:rFonts w:hint="eastAsia"/>
                <w:b/>
              </w:rPr>
            </w:pPr>
            <w:r>
              <w:rPr>
                <w:rFonts w:hint="eastAsia"/>
                <w:b/>
              </w:rPr>
              <w:t>硕士院校</w:t>
            </w:r>
          </w:p>
        </w:tc>
        <w:tc>
          <w:tcPr>
            <w:tcW w:w="4065" w:type="dxa"/>
            <w:gridSpan w:val="7"/>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b/>
              </w:rPr>
            </w:pPr>
          </w:p>
        </w:tc>
        <w:tc>
          <w:tcPr>
            <w:tcW w:w="1440" w:type="dxa"/>
            <w:tcBorders>
              <w:top w:val="single" w:color="auto" w:sz="6" w:space="0"/>
              <w:left w:val="single" w:color="auto" w:sz="6" w:space="0"/>
              <w:bottom w:val="double" w:color="auto" w:sz="4" w:space="0"/>
              <w:right w:val="single" w:color="auto" w:sz="6" w:space="0"/>
            </w:tcBorders>
            <w:vAlign w:val="center"/>
          </w:tcPr>
          <w:p>
            <w:pPr>
              <w:spacing w:before="120" w:line="400" w:lineRule="exact"/>
              <w:jc w:val="center"/>
              <w:rPr>
                <w:rFonts w:hint="eastAsia"/>
                <w:b/>
              </w:rPr>
            </w:pPr>
            <w:r>
              <w:rPr>
                <w:rFonts w:hint="eastAsia"/>
                <w:b/>
              </w:rPr>
              <w:t>硕士专业</w:t>
            </w:r>
          </w:p>
        </w:tc>
        <w:tc>
          <w:tcPr>
            <w:tcW w:w="2880" w:type="dxa"/>
            <w:gridSpan w:val="3"/>
            <w:tcBorders>
              <w:top w:val="single" w:color="auto" w:sz="6" w:space="0"/>
              <w:left w:val="single" w:color="auto" w:sz="6" w:space="0"/>
              <w:bottom w:val="double" w:color="auto" w:sz="4" w:space="0"/>
              <w:right w:val="thickThinSmallGap" w:color="auto" w:sz="12" w:space="0"/>
            </w:tcBorders>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70" w:type="dxa"/>
            <w:gridSpan w:val="2"/>
            <w:tcBorders>
              <w:top w:val="double" w:color="auto" w:sz="4" w:space="0"/>
              <w:left w:val="thinThickSmallGap" w:color="auto" w:sz="12" w:space="0"/>
              <w:bottom w:val="single" w:color="auto" w:sz="4" w:space="0"/>
              <w:right w:val="single" w:color="auto" w:sz="6" w:space="0"/>
            </w:tcBorders>
            <w:vAlign w:val="center"/>
          </w:tcPr>
          <w:p>
            <w:pPr>
              <w:spacing w:before="120" w:line="400" w:lineRule="exact"/>
              <w:jc w:val="center"/>
              <w:rPr>
                <w:rFonts w:hint="eastAsia"/>
                <w:b/>
              </w:rPr>
            </w:pPr>
            <w:r>
              <w:rPr>
                <w:rFonts w:hint="eastAsia"/>
                <w:b/>
              </w:rPr>
              <w:t>报考专业</w:t>
            </w:r>
          </w:p>
        </w:tc>
        <w:tc>
          <w:tcPr>
            <w:tcW w:w="4058" w:type="dxa"/>
            <w:gridSpan w:val="6"/>
            <w:tcBorders>
              <w:top w:val="double" w:color="auto" w:sz="4" w:space="0"/>
              <w:left w:val="single" w:color="auto" w:sz="6" w:space="0"/>
              <w:bottom w:val="single" w:color="auto" w:sz="4" w:space="0"/>
              <w:right w:val="single" w:color="auto" w:sz="6" w:space="0"/>
            </w:tcBorders>
            <w:vAlign w:val="center"/>
          </w:tcPr>
          <w:p>
            <w:pPr>
              <w:spacing w:before="120" w:line="400" w:lineRule="exact"/>
              <w:jc w:val="center"/>
              <w:rPr>
                <w:rFonts w:hint="eastAsia"/>
                <w:b/>
              </w:rPr>
            </w:pPr>
          </w:p>
        </w:tc>
        <w:tc>
          <w:tcPr>
            <w:tcW w:w="1440" w:type="dxa"/>
            <w:tcBorders>
              <w:top w:val="double" w:color="auto" w:sz="4" w:space="0"/>
              <w:left w:val="single" w:color="auto" w:sz="6" w:space="0"/>
              <w:bottom w:val="single" w:color="auto" w:sz="4" w:space="0"/>
              <w:right w:val="single" w:color="auto" w:sz="6" w:space="0"/>
            </w:tcBorders>
            <w:vAlign w:val="center"/>
          </w:tcPr>
          <w:p>
            <w:pPr>
              <w:spacing w:before="120" w:line="400" w:lineRule="exact"/>
              <w:jc w:val="center"/>
              <w:rPr>
                <w:rFonts w:hint="eastAsia"/>
                <w:b/>
              </w:rPr>
            </w:pPr>
            <w:r>
              <w:rPr>
                <w:rFonts w:hint="eastAsia"/>
                <w:b/>
              </w:rPr>
              <w:t>报考导师</w:t>
            </w:r>
          </w:p>
        </w:tc>
        <w:tc>
          <w:tcPr>
            <w:tcW w:w="2880" w:type="dxa"/>
            <w:gridSpan w:val="3"/>
            <w:tcBorders>
              <w:top w:val="double" w:color="auto" w:sz="4" w:space="0"/>
              <w:left w:val="single" w:color="auto" w:sz="6" w:space="0"/>
              <w:bottom w:val="single" w:color="auto" w:sz="4" w:space="0"/>
              <w:right w:val="thickThinSmallGap" w:color="auto" w:sz="12" w:space="0"/>
            </w:tcBorders>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270" w:type="dxa"/>
            <w:gridSpan w:val="2"/>
            <w:vMerge w:val="restart"/>
            <w:tcBorders>
              <w:top w:val="double" w:color="auto" w:sz="4" w:space="0"/>
              <w:left w:val="thinThickSmallGap" w:color="auto" w:sz="12" w:space="0"/>
              <w:bottom w:val="single" w:color="auto" w:sz="6" w:space="0"/>
              <w:right w:val="single" w:color="auto" w:sz="6" w:space="0"/>
            </w:tcBorders>
            <w:vAlign w:val="center"/>
          </w:tcPr>
          <w:p>
            <w:pPr>
              <w:spacing w:line="400" w:lineRule="exact"/>
              <w:jc w:val="center"/>
              <w:rPr>
                <w:rFonts w:hint="eastAsia"/>
                <w:b/>
              </w:rPr>
            </w:pPr>
            <w:r>
              <w:rPr>
                <w:rFonts w:hint="eastAsia"/>
                <w:b/>
              </w:rPr>
              <w:t>报考类别</w:t>
            </w:r>
          </w:p>
        </w:tc>
        <w:tc>
          <w:tcPr>
            <w:tcW w:w="998" w:type="dxa"/>
            <w:gridSpan w:val="2"/>
            <w:tcBorders>
              <w:top w:val="double" w:color="auto" w:sz="4" w:space="0"/>
              <w:left w:val="single" w:color="auto" w:sz="6" w:space="0"/>
              <w:bottom w:val="single" w:color="auto" w:sz="6" w:space="0"/>
              <w:right w:val="single" w:color="auto" w:sz="6" w:space="0"/>
            </w:tcBorders>
            <w:vAlign w:val="center"/>
          </w:tcPr>
          <w:p>
            <w:pPr>
              <w:spacing w:line="400" w:lineRule="exact"/>
              <w:jc w:val="center"/>
              <w:rPr>
                <w:b/>
              </w:rPr>
            </w:pPr>
            <w:r>
              <w:rPr>
                <w:rFonts w:hint="eastAsia"/>
                <w:b/>
              </w:rPr>
              <w:t>非定向</w:t>
            </w:r>
          </w:p>
        </w:tc>
        <w:tc>
          <w:tcPr>
            <w:tcW w:w="675" w:type="dxa"/>
            <w:gridSpan w:val="2"/>
            <w:tcBorders>
              <w:top w:val="double" w:color="auto" w:sz="4" w:space="0"/>
              <w:left w:val="single" w:color="auto" w:sz="6" w:space="0"/>
              <w:bottom w:val="single" w:color="auto" w:sz="6" w:space="0"/>
              <w:right w:val="single" w:color="auto" w:sz="6" w:space="0"/>
            </w:tcBorders>
            <w:vAlign w:val="center"/>
          </w:tcPr>
          <w:p>
            <w:pPr>
              <w:spacing w:line="400" w:lineRule="exact"/>
              <w:jc w:val="center"/>
              <w:rPr>
                <w:rFonts w:hint="eastAsia"/>
                <w:b/>
              </w:rPr>
            </w:pPr>
            <w:r>
              <w:rPr>
                <w:rFonts w:hint="eastAsia"/>
                <w:b/>
              </w:rPr>
              <w:t>定向</w:t>
            </w:r>
          </w:p>
        </w:tc>
        <w:tc>
          <w:tcPr>
            <w:tcW w:w="6705" w:type="dxa"/>
            <w:gridSpan w:val="6"/>
            <w:tcBorders>
              <w:top w:val="double" w:color="auto" w:sz="4" w:space="0"/>
              <w:left w:val="single" w:color="auto" w:sz="6" w:space="0"/>
              <w:bottom w:val="single" w:color="auto" w:sz="6" w:space="0"/>
              <w:right w:val="thickThinSmallGap" w:color="auto" w:sz="12" w:space="0"/>
            </w:tcBorders>
            <w:vAlign w:val="center"/>
          </w:tcPr>
          <w:p>
            <w:pPr>
              <w:spacing w:line="400" w:lineRule="exact"/>
              <w:jc w:val="center"/>
              <w:rPr>
                <w:rFonts w:hint="eastAsia"/>
                <w:b/>
              </w:rPr>
            </w:pPr>
            <w:r>
              <w:rPr>
                <w:rFonts w:hint="eastAsia"/>
                <w:b/>
              </w:rPr>
              <w:t>考生单位名称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270" w:type="dxa"/>
            <w:gridSpan w:val="2"/>
            <w:vMerge w:val="continue"/>
            <w:tcBorders>
              <w:top w:val="single" w:color="auto" w:sz="6" w:space="0"/>
              <w:left w:val="thinThickSmallGap" w:color="auto" w:sz="12" w:space="0"/>
              <w:bottom w:val="double" w:color="auto" w:sz="4" w:space="0"/>
              <w:right w:val="single" w:color="auto" w:sz="6" w:space="0"/>
            </w:tcBorders>
            <w:vAlign w:val="center"/>
          </w:tcPr>
          <w:p>
            <w:pPr>
              <w:spacing w:line="400" w:lineRule="exact"/>
              <w:jc w:val="center"/>
              <w:rPr>
                <w:rFonts w:hint="eastAsia"/>
                <w:b/>
              </w:rPr>
            </w:pPr>
          </w:p>
        </w:tc>
        <w:tc>
          <w:tcPr>
            <w:tcW w:w="998" w:type="dxa"/>
            <w:gridSpan w:val="2"/>
            <w:tcBorders>
              <w:top w:val="single" w:color="auto" w:sz="6" w:space="0"/>
              <w:left w:val="single" w:color="auto" w:sz="6" w:space="0"/>
              <w:bottom w:val="double" w:color="auto" w:sz="4" w:space="0"/>
              <w:right w:val="single" w:color="auto" w:sz="6" w:space="0"/>
            </w:tcBorders>
            <w:vAlign w:val="center"/>
          </w:tcPr>
          <w:p>
            <w:pPr>
              <w:spacing w:line="400" w:lineRule="exact"/>
              <w:jc w:val="center"/>
              <w:rPr>
                <w:rFonts w:hint="eastAsia"/>
                <w:b/>
              </w:rPr>
            </w:pPr>
          </w:p>
        </w:tc>
        <w:tc>
          <w:tcPr>
            <w:tcW w:w="675" w:type="dxa"/>
            <w:gridSpan w:val="2"/>
            <w:tcBorders>
              <w:top w:val="single" w:color="auto" w:sz="6" w:space="0"/>
              <w:left w:val="single" w:color="auto" w:sz="6" w:space="0"/>
              <w:bottom w:val="double" w:color="auto" w:sz="4" w:space="0"/>
              <w:right w:val="single" w:color="auto" w:sz="6" w:space="0"/>
            </w:tcBorders>
            <w:vAlign w:val="center"/>
          </w:tcPr>
          <w:p>
            <w:pPr>
              <w:spacing w:line="400" w:lineRule="exact"/>
              <w:jc w:val="center"/>
              <w:rPr>
                <w:rFonts w:hint="eastAsia"/>
                <w:b/>
              </w:rPr>
            </w:pPr>
          </w:p>
        </w:tc>
        <w:tc>
          <w:tcPr>
            <w:tcW w:w="6705" w:type="dxa"/>
            <w:gridSpan w:val="6"/>
            <w:tcBorders>
              <w:top w:val="single" w:color="auto" w:sz="6" w:space="0"/>
              <w:left w:val="single" w:color="auto" w:sz="6" w:space="0"/>
              <w:bottom w:val="double" w:color="auto" w:sz="4" w:space="0"/>
              <w:right w:val="thickThinSmallGap" w:color="auto" w:sz="12" w:space="0"/>
            </w:tcBorders>
            <w:vAlign w:val="center"/>
          </w:tcPr>
          <w:p>
            <w:pPr>
              <w:spacing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1270" w:type="dxa"/>
            <w:gridSpan w:val="2"/>
            <w:tcBorders>
              <w:top w:val="double" w:color="auto" w:sz="4" w:space="0"/>
              <w:left w:val="thinThickSmallGap" w:color="auto" w:sz="12" w:space="0"/>
              <w:bottom w:val="double" w:color="auto" w:sz="4" w:space="0"/>
              <w:right w:val="single" w:color="auto" w:sz="6" w:space="0"/>
            </w:tcBorders>
            <w:vAlign w:val="center"/>
          </w:tcPr>
          <w:p>
            <w:pPr>
              <w:spacing w:line="400" w:lineRule="exact"/>
              <w:jc w:val="center"/>
              <w:rPr>
                <w:rFonts w:hint="eastAsia"/>
                <w:b/>
              </w:rPr>
            </w:pPr>
            <w:r>
              <w:rPr>
                <w:rFonts w:hint="eastAsia"/>
                <w:b/>
              </w:rPr>
              <w:t>已</w:t>
            </w:r>
          </w:p>
          <w:p>
            <w:pPr>
              <w:spacing w:line="400" w:lineRule="exact"/>
              <w:jc w:val="center"/>
              <w:rPr>
                <w:rFonts w:hint="eastAsia"/>
                <w:b/>
              </w:rPr>
            </w:pPr>
            <w:r>
              <w:rPr>
                <w:rFonts w:hint="eastAsia"/>
                <w:b/>
              </w:rPr>
              <w:t>有</w:t>
            </w:r>
          </w:p>
          <w:p>
            <w:pPr>
              <w:spacing w:line="400" w:lineRule="exact"/>
              <w:jc w:val="center"/>
              <w:rPr>
                <w:rFonts w:hint="eastAsia"/>
                <w:b/>
              </w:rPr>
            </w:pPr>
            <w:r>
              <w:rPr>
                <w:rFonts w:hint="eastAsia"/>
                <w:b/>
              </w:rPr>
              <w:t>科</w:t>
            </w:r>
          </w:p>
          <w:p>
            <w:pPr>
              <w:spacing w:line="400" w:lineRule="exact"/>
              <w:jc w:val="center"/>
              <w:rPr>
                <w:rFonts w:hint="eastAsia"/>
                <w:b/>
              </w:rPr>
            </w:pPr>
            <w:r>
              <w:rPr>
                <w:rFonts w:hint="eastAsia"/>
                <w:b/>
              </w:rPr>
              <w:t>研</w:t>
            </w:r>
          </w:p>
          <w:p>
            <w:pPr>
              <w:spacing w:line="400" w:lineRule="exact"/>
              <w:jc w:val="center"/>
              <w:rPr>
                <w:rFonts w:hint="eastAsia"/>
                <w:b/>
              </w:rPr>
            </w:pPr>
            <w:r>
              <w:rPr>
                <w:rFonts w:hint="eastAsia"/>
                <w:b/>
              </w:rPr>
              <w:t>成</w:t>
            </w:r>
          </w:p>
          <w:p>
            <w:pPr>
              <w:spacing w:line="400" w:lineRule="exact"/>
              <w:jc w:val="center"/>
              <w:rPr>
                <w:rFonts w:hint="eastAsia"/>
                <w:b/>
              </w:rPr>
            </w:pPr>
            <w:r>
              <w:rPr>
                <w:rFonts w:hint="eastAsia"/>
                <w:b/>
              </w:rPr>
              <w:t>果</w:t>
            </w:r>
          </w:p>
        </w:tc>
        <w:tc>
          <w:tcPr>
            <w:tcW w:w="8378" w:type="dxa"/>
            <w:gridSpan w:val="10"/>
            <w:tcBorders>
              <w:top w:val="double" w:color="auto" w:sz="4" w:space="0"/>
              <w:left w:val="single" w:color="auto" w:sz="6" w:space="0"/>
              <w:bottom w:val="double" w:color="auto" w:sz="4" w:space="0"/>
              <w:right w:val="thickThinSmallGap" w:color="auto" w:sz="12" w:space="0"/>
            </w:tcBorders>
            <w:vAlign w:val="center"/>
          </w:tcPr>
          <w:p>
            <w:pPr>
              <w:spacing w:line="400" w:lineRule="exact"/>
              <w:rPr>
                <w:rFonts w:hint="eastAsia"/>
                <w:b/>
              </w:rPr>
            </w:pPr>
            <w:r>
              <w:rPr>
                <w:rFonts w:hint="eastAsia"/>
                <w:b/>
              </w:rPr>
              <w:t>（按照发表论文、主持和参与课题及获奖等三方面归纳总结，不够可另加页。）</w:t>
            </w: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7" w:hRule="atLeast"/>
          <w:jc w:val="center"/>
        </w:trPr>
        <w:tc>
          <w:tcPr>
            <w:tcW w:w="1270" w:type="dxa"/>
            <w:gridSpan w:val="2"/>
            <w:tcBorders>
              <w:top w:val="double" w:color="auto" w:sz="4" w:space="0"/>
              <w:left w:val="thinThickSmallGap" w:color="auto" w:sz="12" w:space="0"/>
              <w:bottom w:val="double" w:color="auto" w:sz="4" w:space="0"/>
              <w:right w:val="single" w:color="auto" w:sz="6" w:space="0"/>
            </w:tcBorders>
            <w:vAlign w:val="center"/>
          </w:tcPr>
          <w:p>
            <w:pPr>
              <w:jc w:val="center"/>
              <w:rPr>
                <w:rFonts w:hint="eastAsia"/>
                <w:b/>
              </w:rPr>
            </w:pPr>
            <w:r>
              <w:rPr>
                <w:rFonts w:hint="eastAsia"/>
                <w:b/>
              </w:rPr>
              <w:t>研</w:t>
            </w:r>
          </w:p>
          <w:p>
            <w:pPr>
              <w:jc w:val="center"/>
              <w:rPr>
                <w:rFonts w:hint="eastAsia"/>
                <w:b/>
              </w:rPr>
            </w:pPr>
            <w:r>
              <w:rPr>
                <w:rFonts w:hint="eastAsia"/>
                <w:b/>
              </w:rPr>
              <w:t>究</w:t>
            </w:r>
          </w:p>
          <w:p>
            <w:pPr>
              <w:jc w:val="center"/>
              <w:rPr>
                <w:rFonts w:hint="eastAsia"/>
                <w:b/>
              </w:rPr>
            </w:pPr>
            <w:r>
              <w:rPr>
                <w:rFonts w:hint="eastAsia"/>
                <w:b/>
              </w:rPr>
              <w:t>计</w:t>
            </w:r>
          </w:p>
          <w:p>
            <w:pPr>
              <w:spacing w:line="400" w:lineRule="exact"/>
              <w:jc w:val="center"/>
              <w:rPr>
                <w:rFonts w:hint="eastAsia"/>
                <w:b/>
              </w:rPr>
            </w:pPr>
            <w:r>
              <w:rPr>
                <w:rFonts w:hint="eastAsia"/>
                <w:b/>
              </w:rPr>
              <w:t>划</w:t>
            </w:r>
          </w:p>
        </w:tc>
        <w:tc>
          <w:tcPr>
            <w:tcW w:w="8378" w:type="dxa"/>
            <w:gridSpan w:val="10"/>
            <w:tcBorders>
              <w:top w:val="double" w:color="auto" w:sz="4" w:space="0"/>
              <w:left w:val="single" w:color="auto" w:sz="6" w:space="0"/>
              <w:bottom w:val="double" w:color="auto" w:sz="4" w:space="0"/>
              <w:right w:val="thickThinSmallGap" w:color="auto" w:sz="12" w:space="0"/>
            </w:tcBorders>
            <w:vAlign w:val="center"/>
          </w:tcPr>
          <w:p>
            <w:pPr>
              <w:rPr>
                <w:rFonts w:hint="eastAsia"/>
                <w:b/>
              </w:rPr>
            </w:pPr>
            <w:r>
              <w:rPr>
                <w:rFonts w:hint="eastAsia"/>
                <w:b/>
              </w:rPr>
              <w:t>（阐述博士研究生期间的研究计划，不够可另加页）</w:t>
            </w: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both"/>
              <w:rPr>
                <w:rFonts w:hint="eastAsia"/>
                <w:b/>
              </w:rPr>
            </w:pPr>
          </w:p>
          <w:p>
            <w:pPr>
              <w:spacing w:line="400" w:lineRule="exact"/>
              <w:jc w:val="center"/>
              <w:rPr>
                <w:rFonts w:hint="eastAsia"/>
                <w:b/>
              </w:rPr>
            </w:pPr>
          </w:p>
          <w:p>
            <w:pPr>
              <w:spacing w:line="400" w:lineRule="exact"/>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1270" w:type="dxa"/>
            <w:gridSpan w:val="2"/>
            <w:tcBorders>
              <w:top w:val="double" w:color="auto" w:sz="4" w:space="0"/>
              <w:left w:val="thinThickSmallGap" w:color="auto" w:sz="12" w:space="0"/>
              <w:bottom w:val="thickThinSmallGap" w:color="auto" w:sz="12" w:space="0"/>
              <w:right w:val="single" w:color="auto" w:sz="6" w:space="0"/>
            </w:tcBorders>
            <w:vAlign w:val="center"/>
          </w:tcPr>
          <w:p>
            <w:pPr>
              <w:jc w:val="center"/>
              <w:rPr>
                <w:rFonts w:hint="eastAsia"/>
                <w:b/>
              </w:rPr>
            </w:pPr>
            <w:r>
              <w:rPr>
                <w:rFonts w:hint="eastAsia"/>
                <w:b/>
              </w:rPr>
              <w:t>报</w:t>
            </w:r>
          </w:p>
          <w:p>
            <w:pPr>
              <w:jc w:val="center"/>
              <w:rPr>
                <w:rFonts w:hint="eastAsia"/>
                <w:b/>
              </w:rPr>
            </w:pPr>
            <w:r>
              <w:rPr>
                <w:rFonts w:hint="eastAsia"/>
                <w:b/>
              </w:rPr>
              <w:t>考</w:t>
            </w:r>
          </w:p>
          <w:p>
            <w:pPr>
              <w:jc w:val="center"/>
              <w:rPr>
                <w:rFonts w:hint="eastAsia"/>
                <w:b/>
              </w:rPr>
            </w:pPr>
            <w:r>
              <w:rPr>
                <w:rFonts w:hint="eastAsia"/>
                <w:b/>
              </w:rPr>
              <w:t>导</w:t>
            </w:r>
          </w:p>
          <w:p>
            <w:pPr>
              <w:jc w:val="center"/>
              <w:rPr>
                <w:rFonts w:hint="eastAsia"/>
                <w:b/>
              </w:rPr>
            </w:pPr>
            <w:r>
              <w:rPr>
                <w:rFonts w:hint="eastAsia"/>
                <w:b/>
              </w:rPr>
              <w:t>师</w:t>
            </w:r>
          </w:p>
          <w:p>
            <w:pPr>
              <w:jc w:val="center"/>
              <w:rPr>
                <w:rFonts w:hint="eastAsia"/>
                <w:b/>
              </w:rPr>
            </w:pPr>
            <w:r>
              <w:rPr>
                <w:rFonts w:hint="eastAsia"/>
                <w:b/>
              </w:rPr>
              <w:t>意</w:t>
            </w:r>
          </w:p>
          <w:p>
            <w:pPr>
              <w:jc w:val="center"/>
              <w:rPr>
                <w:rFonts w:hint="eastAsia"/>
                <w:b/>
              </w:rPr>
            </w:pPr>
            <w:r>
              <w:rPr>
                <w:rFonts w:hint="eastAsia"/>
                <w:b/>
              </w:rPr>
              <w:t>见</w:t>
            </w:r>
          </w:p>
        </w:tc>
        <w:tc>
          <w:tcPr>
            <w:tcW w:w="8378" w:type="dxa"/>
            <w:gridSpan w:val="10"/>
            <w:tcBorders>
              <w:top w:val="double" w:color="auto" w:sz="4" w:space="0"/>
              <w:left w:val="single" w:color="auto" w:sz="6" w:space="0"/>
              <w:bottom w:val="thickThinSmallGap" w:color="auto" w:sz="12" w:space="0"/>
              <w:right w:val="thickThinSmallGap" w:color="auto" w:sz="12" w:space="0"/>
            </w:tcBorders>
            <w:vAlign w:val="center"/>
          </w:tcPr>
          <w:p>
            <w:pPr>
              <w:ind w:firstLine="6505" w:firstLineChars="2700"/>
              <w:jc w:val="center"/>
              <w:rPr>
                <w:rFonts w:hint="eastAsia"/>
                <w:b/>
              </w:rPr>
            </w:pPr>
          </w:p>
          <w:p>
            <w:pPr>
              <w:ind w:firstLine="4819" w:firstLineChars="2000"/>
              <w:rPr>
                <w:rFonts w:hint="eastAsia"/>
                <w:b/>
              </w:rPr>
            </w:pPr>
          </w:p>
          <w:p>
            <w:pPr>
              <w:ind w:firstLine="6023" w:firstLineChars="2500"/>
              <w:rPr>
                <w:rFonts w:hint="eastAsia"/>
                <w:b/>
              </w:rPr>
            </w:pPr>
            <w:r>
              <w:rPr>
                <w:rFonts w:hint="eastAsia"/>
                <w:b/>
              </w:rPr>
              <w:t>导 师 签 名：</w:t>
            </w:r>
          </w:p>
          <w:p>
            <w:pPr>
              <w:ind w:firstLine="4096" w:firstLineChars="1700"/>
              <w:rPr>
                <w:rFonts w:hint="eastAsia"/>
                <w:b/>
              </w:rPr>
            </w:pPr>
          </w:p>
          <w:p>
            <w:pPr>
              <w:jc w:val="center"/>
              <w:rPr>
                <w:rFonts w:hint="eastAsia"/>
                <w:b/>
              </w:rPr>
            </w:pPr>
            <w:r>
              <w:rPr>
                <w:rFonts w:hint="eastAsia"/>
                <w:b/>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1270" w:type="dxa"/>
            <w:gridSpan w:val="2"/>
            <w:tcBorders>
              <w:top w:val="double" w:color="auto" w:sz="4" w:space="0"/>
              <w:left w:val="thinThickSmallGap" w:color="auto" w:sz="12" w:space="0"/>
              <w:bottom w:val="thickThinSmallGap" w:color="auto" w:sz="12" w:space="0"/>
              <w:right w:val="single" w:color="auto" w:sz="6" w:space="0"/>
            </w:tcBorders>
            <w:vAlign w:val="center"/>
          </w:tcPr>
          <w:p>
            <w:pPr>
              <w:jc w:val="center"/>
              <w:rPr>
                <w:rFonts w:hint="eastAsia"/>
                <w:b/>
              </w:rPr>
            </w:pPr>
            <w:r>
              <w:rPr>
                <w:rFonts w:hint="eastAsia"/>
                <w:b/>
              </w:rPr>
              <w:t>报</w:t>
            </w:r>
          </w:p>
          <w:p>
            <w:pPr>
              <w:jc w:val="center"/>
              <w:rPr>
                <w:rFonts w:hint="eastAsia"/>
                <w:b/>
              </w:rPr>
            </w:pPr>
            <w:r>
              <w:rPr>
                <w:rFonts w:hint="eastAsia"/>
                <w:b/>
              </w:rPr>
              <w:t>考</w:t>
            </w:r>
          </w:p>
          <w:p>
            <w:pPr>
              <w:jc w:val="center"/>
              <w:rPr>
                <w:rFonts w:eastAsia="宋体"/>
                <w:b/>
              </w:rPr>
            </w:pPr>
            <w:r>
              <w:rPr>
                <w:rFonts w:hint="eastAsia"/>
                <w:b/>
              </w:rPr>
              <w:t>单        位</w:t>
            </w:r>
          </w:p>
          <w:p>
            <w:pPr>
              <w:jc w:val="center"/>
              <w:rPr>
                <w:rFonts w:hint="eastAsia"/>
                <w:b/>
              </w:rPr>
            </w:pPr>
            <w:r>
              <w:rPr>
                <w:rFonts w:hint="eastAsia"/>
                <w:b/>
              </w:rPr>
              <w:t>意</w:t>
            </w:r>
          </w:p>
          <w:p>
            <w:pPr>
              <w:jc w:val="center"/>
              <w:rPr>
                <w:rFonts w:hint="eastAsia"/>
                <w:b/>
              </w:rPr>
            </w:pPr>
            <w:r>
              <w:rPr>
                <w:rFonts w:hint="eastAsia"/>
                <w:b/>
              </w:rPr>
              <w:t>见</w:t>
            </w:r>
          </w:p>
        </w:tc>
        <w:tc>
          <w:tcPr>
            <w:tcW w:w="8378" w:type="dxa"/>
            <w:gridSpan w:val="10"/>
            <w:tcBorders>
              <w:top w:val="double" w:color="auto" w:sz="4" w:space="0"/>
              <w:left w:val="single" w:color="auto" w:sz="6" w:space="0"/>
              <w:bottom w:val="thickThinSmallGap" w:color="auto" w:sz="12" w:space="0"/>
              <w:right w:val="thickThinSmallGap" w:color="auto" w:sz="12" w:space="0"/>
            </w:tcBorders>
            <w:vAlign w:val="center"/>
          </w:tcPr>
          <w:p>
            <w:pPr>
              <w:ind w:firstLine="6505" w:firstLineChars="2700"/>
              <w:jc w:val="center"/>
              <w:rPr>
                <w:rFonts w:hint="eastAsia"/>
                <w:b/>
              </w:rPr>
            </w:pPr>
          </w:p>
          <w:p>
            <w:pPr>
              <w:ind w:firstLine="6505" w:firstLineChars="2700"/>
              <w:jc w:val="center"/>
              <w:rPr>
                <w:rFonts w:hint="eastAsia"/>
                <w:b/>
              </w:rPr>
            </w:pPr>
          </w:p>
          <w:p>
            <w:pPr>
              <w:jc w:val="right"/>
              <w:rPr>
                <w:rFonts w:hint="eastAsia" w:eastAsia="宋体"/>
                <w:b/>
              </w:rPr>
            </w:pPr>
            <w:r>
              <w:rPr>
                <w:rFonts w:hint="eastAsia"/>
                <w:b/>
              </w:rPr>
              <w:t>单 位 签 章</w:t>
            </w:r>
          </w:p>
          <w:p>
            <w:pPr>
              <w:ind w:firstLine="5301" w:firstLineChars="2200"/>
              <w:rPr>
                <w:rFonts w:hint="eastAsia"/>
                <w:b/>
              </w:rPr>
            </w:pPr>
            <w:r>
              <w:rPr>
                <w:rFonts w:hint="eastAsia"/>
                <w:b/>
              </w:rPr>
              <w:t xml:space="preserve"> 年        月        日</w:t>
            </w:r>
          </w:p>
          <w:p>
            <w:pPr>
              <w:jc w:val="center"/>
              <w:rPr>
                <w:rFonts w:hint="eastAsia"/>
                <w:b/>
              </w:rPr>
            </w:pPr>
          </w:p>
        </w:tc>
      </w:tr>
    </w:tbl>
    <w:p>
      <w:pPr>
        <w:rPr>
          <w:rFonts w:hint="eastAsia"/>
        </w:rPr>
      </w:pPr>
      <w:r>
        <w:rPr>
          <w:rFonts w:hint="eastAsia"/>
          <w:b/>
          <w:sz w:val="18"/>
          <w:szCs w:val="18"/>
        </w:rPr>
        <w:t>注: 此表一式两份，报考导师一份，研究生招生办公室一份。</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422733"/>
    <w:multiLevelType w:val="multilevel"/>
    <w:tmpl w:val="15422733"/>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4F1A6566"/>
    <w:multiLevelType w:val="multilevel"/>
    <w:tmpl w:val="4F1A6566"/>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7B3744BB"/>
    <w:multiLevelType w:val="multilevel"/>
    <w:tmpl w:val="7B3744BB"/>
    <w:lvl w:ilvl="0" w:tentative="0">
      <w:start w:val="1"/>
      <w:numFmt w:val="japaneseCounting"/>
      <w:lvlText w:val="第%1条"/>
      <w:lvlJc w:val="left"/>
      <w:pPr>
        <w:ind w:left="1723" w:hanging="1080"/>
      </w:pPr>
      <w:rPr>
        <w:rFonts w:hint="default"/>
        <w:b/>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ZjBiNjAwYjY4YzUwYTQwNGI0Yjg0MmViY2VlMzMifQ=="/>
  </w:docVars>
  <w:rsids>
    <w:rsidRoot w:val="008B7DE9"/>
    <w:rsid w:val="000B087B"/>
    <w:rsid w:val="000B50F0"/>
    <w:rsid w:val="000B7322"/>
    <w:rsid w:val="000E005C"/>
    <w:rsid w:val="0013127A"/>
    <w:rsid w:val="001356EF"/>
    <w:rsid w:val="001D2342"/>
    <w:rsid w:val="002864A4"/>
    <w:rsid w:val="002B1430"/>
    <w:rsid w:val="00345DF7"/>
    <w:rsid w:val="003D78A9"/>
    <w:rsid w:val="003D7E99"/>
    <w:rsid w:val="00443DA6"/>
    <w:rsid w:val="0047296F"/>
    <w:rsid w:val="004B400C"/>
    <w:rsid w:val="004B6D1A"/>
    <w:rsid w:val="004E6D51"/>
    <w:rsid w:val="00531D45"/>
    <w:rsid w:val="00603607"/>
    <w:rsid w:val="00624AF4"/>
    <w:rsid w:val="006B7D34"/>
    <w:rsid w:val="006E1DD2"/>
    <w:rsid w:val="006F7A94"/>
    <w:rsid w:val="007010C4"/>
    <w:rsid w:val="00701EBC"/>
    <w:rsid w:val="0074213D"/>
    <w:rsid w:val="00776891"/>
    <w:rsid w:val="007C5B6F"/>
    <w:rsid w:val="007E59EB"/>
    <w:rsid w:val="00874F1E"/>
    <w:rsid w:val="008B1217"/>
    <w:rsid w:val="008B7DE9"/>
    <w:rsid w:val="00A21E3D"/>
    <w:rsid w:val="00A910A4"/>
    <w:rsid w:val="00AA2443"/>
    <w:rsid w:val="00AC7044"/>
    <w:rsid w:val="00BE0F84"/>
    <w:rsid w:val="00C47270"/>
    <w:rsid w:val="00C71CEE"/>
    <w:rsid w:val="00CD07D7"/>
    <w:rsid w:val="00D94774"/>
    <w:rsid w:val="00E3764F"/>
    <w:rsid w:val="00E65617"/>
    <w:rsid w:val="00F358AA"/>
    <w:rsid w:val="00F520A0"/>
    <w:rsid w:val="00F94937"/>
    <w:rsid w:val="05EA4B8A"/>
    <w:rsid w:val="060E411B"/>
    <w:rsid w:val="063517BC"/>
    <w:rsid w:val="0CBD29D9"/>
    <w:rsid w:val="0F535A15"/>
    <w:rsid w:val="11811B2E"/>
    <w:rsid w:val="14A72C4E"/>
    <w:rsid w:val="17DD1B0B"/>
    <w:rsid w:val="206E6C9D"/>
    <w:rsid w:val="36EF34FF"/>
    <w:rsid w:val="38672330"/>
    <w:rsid w:val="61B50C3A"/>
    <w:rsid w:val="66BD35A7"/>
    <w:rsid w:val="78974716"/>
    <w:rsid w:val="7C483053"/>
    <w:rsid w:val="7D4A57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8">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unhideWhenUsed/>
    <w:qFormat/>
    <w:uiPriority w:val="99"/>
    <w:pPr>
      <w:tabs>
        <w:tab w:val="center" w:pos="4153"/>
        <w:tab w:val="right" w:pos="8306"/>
      </w:tabs>
      <w:snapToGrid w:val="0"/>
      <w:jc w:val="left"/>
    </w:pPr>
    <w:rPr>
      <w:sz w:val="18"/>
      <w:szCs w:val="18"/>
    </w:rPr>
  </w:style>
  <w:style w:type="paragraph" w:styleId="3">
    <w:name w:val="Body Text Indent"/>
    <w:basedOn w:val="1"/>
    <w:autoRedefine/>
    <w:qFormat/>
    <w:uiPriority w:val="0"/>
    <w:pPr>
      <w:spacing w:line="300" w:lineRule="auto"/>
      <w:ind w:firstLine="560" w:firstLineChars="200"/>
    </w:pPr>
    <w:rPr>
      <w:rFonts w:hAnsi="宋体"/>
      <w:bCs/>
      <w:sz w:val="28"/>
      <w:szCs w:val="20"/>
    </w:rPr>
  </w:style>
  <w:style w:type="paragraph" w:styleId="4">
    <w:name w:val="Balloon Text"/>
    <w:basedOn w:val="1"/>
    <w:link w:val="12"/>
    <w:autoRedefine/>
    <w:semiHidden/>
    <w:unhideWhenUsed/>
    <w:qFormat/>
    <w:uiPriority w:val="99"/>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autoRedefine/>
    <w:qFormat/>
    <w:uiPriority w:val="99"/>
    <w:rPr>
      <w:sz w:val="18"/>
      <w:szCs w:val="18"/>
    </w:rPr>
  </w:style>
  <w:style w:type="character" w:customStyle="1" w:styleId="10">
    <w:name w:val="页脚 字符"/>
    <w:basedOn w:val="8"/>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批注框文本 字符"/>
    <w:basedOn w:val="8"/>
    <w:link w:val="4"/>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406</Words>
  <Characters>2318</Characters>
  <Lines>19</Lines>
  <Paragraphs>5</Paragraphs>
  <TotalTime>7</TotalTime>
  <ScaleCrop>false</ScaleCrop>
  <LinksUpToDate>false</LinksUpToDate>
  <CharactersWithSpaces>2719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2024-01-03T06:44:00Z</dcterms:created>
  <dc:creator>JingKang</dc:creator>
  <cp:lastModifiedBy>  ′吋ι</cp:lastModifiedBy>
  <cp:lastPrinted>2024-01-02T05:23:00Z</cp:lastPrinted>
  <dcterms:modified xsi:type="dcterms:W3CDTF">2024-01-04T07:45:51Z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57AE847B065C4565B29F36FEE2100F05_13</vt:lpwstr>
  </property>
</Properties>
</file>